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23DD29" w14:textId="1BCBBFEB" w:rsidR="004D5E32" w:rsidRDefault="004D5E32" w:rsidP="004D5E32">
      <w:pPr>
        <w:jc w:val="center"/>
      </w:pPr>
      <w:r w:rsidRPr="004D5E32">
        <w:t>RNA sequence data and Differential Expression analysis</w:t>
      </w:r>
      <w:r>
        <w:t xml:space="preserve"> </w:t>
      </w:r>
      <w:r w:rsidRPr="004D5E32">
        <w:t>in asthma treatment</w:t>
      </w:r>
    </w:p>
    <w:p w14:paraId="728E5410" w14:textId="2BACF689" w:rsidR="004D5E32" w:rsidRPr="00A76B81" w:rsidRDefault="004D5E32" w:rsidP="004D5E32">
      <w:pPr>
        <w:rPr>
          <w:b/>
          <w:bCs/>
        </w:rPr>
      </w:pPr>
      <w:r w:rsidRPr="00A76B81">
        <w:rPr>
          <w:b/>
          <w:bCs/>
        </w:rPr>
        <w:t>I</w:t>
      </w:r>
      <w:r w:rsidRPr="00A76B81">
        <w:rPr>
          <w:rFonts w:hint="eastAsia"/>
          <w:b/>
          <w:bCs/>
        </w:rPr>
        <w:t>n</w:t>
      </w:r>
      <w:r w:rsidRPr="00A76B81">
        <w:rPr>
          <w:b/>
          <w:bCs/>
        </w:rPr>
        <w:t>troduction</w:t>
      </w:r>
    </w:p>
    <w:p w14:paraId="409B24E8" w14:textId="501ADDBD" w:rsidR="004D5E32" w:rsidRDefault="004D5E32" w:rsidP="004D5E32">
      <w:r w:rsidRPr="004D5E32">
        <w:t xml:space="preserve">This research shows that RNA-Seq is used to characterize the human airway smooth muscle (HASM) </w:t>
      </w:r>
      <w:r>
        <w:t xml:space="preserve"> </w:t>
      </w:r>
      <w:r w:rsidRPr="004D5E32">
        <w:t>transcriptome at baseline and under four asthma treatment conditions.</w:t>
      </w:r>
      <w:r>
        <w:t xml:space="preserve"> </w:t>
      </w:r>
      <w:r w:rsidRPr="004D5E32">
        <w:t xml:space="preserve">Use R </w:t>
      </w:r>
      <w:r>
        <w:t xml:space="preserve">studio </w:t>
      </w:r>
      <w:r w:rsidRPr="004D5E32">
        <w:t>and statistical probability to analyze which treatment plan has the greatest impact on genes in several groups of controlled trials.</w:t>
      </w:r>
    </w:p>
    <w:p w14:paraId="31B96A1C" w14:textId="63B5B5CD" w:rsidR="004D5E32" w:rsidRPr="00A76B81" w:rsidRDefault="004D5E32" w:rsidP="004D5E32">
      <w:pPr>
        <w:rPr>
          <w:b/>
          <w:bCs/>
        </w:rPr>
      </w:pPr>
      <w:r w:rsidRPr="00A76B81">
        <w:rPr>
          <w:b/>
          <w:bCs/>
        </w:rPr>
        <w:t>Method</w:t>
      </w:r>
    </w:p>
    <w:p w14:paraId="50BCEBC5" w14:textId="77777777" w:rsidR="001523D4" w:rsidRDefault="004D5E32" w:rsidP="001523D4">
      <w:pPr>
        <w:jc w:val="both"/>
      </w:pPr>
      <w:r w:rsidRPr="004D5E32">
        <w:t xml:space="preserve">We have adopted </w:t>
      </w:r>
      <w:r w:rsidR="00CB7978">
        <w:t>1)</w:t>
      </w:r>
      <w:r w:rsidR="001523D4">
        <w:t xml:space="preserve"> </w:t>
      </w:r>
      <w:r w:rsidRPr="004D5E32">
        <w:t>T test</w:t>
      </w:r>
      <w:r w:rsidR="00CB7978">
        <w:t>, 2)</w:t>
      </w:r>
      <w:r w:rsidR="001523D4">
        <w:t xml:space="preserve"> </w:t>
      </w:r>
      <w:r>
        <w:t>L</w:t>
      </w:r>
      <w:r w:rsidRPr="004D5E32">
        <w:t xml:space="preserve">inear </w:t>
      </w:r>
      <w:r>
        <w:t>R</w:t>
      </w:r>
      <w:r w:rsidRPr="004D5E32">
        <w:t xml:space="preserve">egression </w:t>
      </w:r>
      <w:r>
        <w:t xml:space="preserve">and </w:t>
      </w:r>
      <w:r w:rsidR="00CB7978">
        <w:t xml:space="preserve">3) </w:t>
      </w:r>
      <w:r w:rsidRPr="004D5E32">
        <w:t>Differential Expression Analysis</w:t>
      </w:r>
      <w:r>
        <w:t xml:space="preserve">. </w:t>
      </w:r>
      <w:r w:rsidRPr="004D5E32">
        <w:t xml:space="preserve">In this case we choose variables cell and </w:t>
      </w:r>
      <w:proofErr w:type="spellStart"/>
      <w:r w:rsidRPr="004D5E32">
        <w:t>dex</w:t>
      </w:r>
      <w:proofErr w:type="spellEnd"/>
      <w:r w:rsidRPr="004D5E32">
        <w:t xml:space="preserve"> because we care about the cell line and which samples are treated with dexamethasone versus which samples are untreated controls.</w:t>
      </w:r>
      <w:r w:rsidR="00020F0B" w:rsidRPr="00020F0B">
        <w:t xml:space="preserve"> </w:t>
      </w:r>
      <w:r w:rsidR="00020F0B">
        <w:t>The basis for this type of analysis is common when analyzing high-throughput data. It has the following steps</w:t>
      </w:r>
      <w:r w:rsidR="00020F0B">
        <w:t>:</w:t>
      </w:r>
      <w:r w:rsidR="00020F0B">
        <w:t xml:space="preserve"> Extract the expression values for a single gene.</w:t>
      </w:r>
      <w:r w:rsidR="00020F0B">
        <w:t xml:space="preserve"> </w:t>
      </w:r>
      <w:r w:rsidR="00020F0B">
        <w:t>Run compare the mean expression between two groups using a statistical test.</w:t>
      </w:r>
      <w:r w:rsidR="00020F0B">
        <w:t xml:space="preserve"> </w:t>
      </w:r>
      <w:r w:rsidR="00020F0B">
        <w:t xml:space="preserve">Repeat </w:t>
      </w:r>
      <w:r w:rsidR="00020F0B">
        <w:t xml:space="preserve">former </w:t>
      </w:r>
      <w:r w:rsidR="00020F0B">
        <w:t>steps for every gene.</w:t>
      </w:r>
      <w:r w:rsidR="00020F0B">
        <w:t xml:space="preserve"> Then, </w:t>
      </w:r>
      <w:r w:rsidR="00020F0B" w:rsidRPr="00020F0B">
        <w:t xml:space="preserve">from </w:t>
      </w:r>
      <w:proofErr w:type="spellStart"/>
      <w:r w:rsidR="00020F0B" w:rsidRPr="00020F0B">
        <w:t>dplyr</w:t>
      </w:r>
      <w:proofErr w:type="spellEnd"/>
      <w:r w:rsidR="00020F0B" w:rsidRPr="00020F0B">
        <w:t xml:space="preserve"> </w:t>
      </w:r>
      <w:r w:rsidR="00020F0B">
        <w:t xml:space="preserve">package </w:t>
      </w:r>
      <w:r w:rsidR="00020F0B" w:rsidRPr="00020F0B">
        <w:t xml:space="preserve">to filter out results based on </w:t>
      </w:r>
      <w:proofErr w:type="spellStart"/>
      <w:r w:rsidR="00020F0B" w:rsidRPr="00020F0B">
        <w:t>padj</w:t>
      </w:r>
      <w:proofErr w:type="spellEnd"/>
      <w:r w:rsidR="00020F0B" w:rsidRPr="00020F0B">
        <w:t xml:space="preserve"> &lt; 0.01</w:t>
      </w:r>
      <w:r w:rsidR="00020F0B">
        <w:t>.</w:t>
      </w:r>
      <w:r w:rsidR="00CB7978">
        <w:t xml:space="preserve"> 4)</w:t>
      </w:r>
      <w:r w:rsidR="00CB7978" w:rsidRPr="00CB7978">
        <w:rPr>
          <w:rFonts w:hAnsi="Calibri"/>
          <w:color w:val="000000" w:themeColor="text1"/>
          <w:kern w:val="24"/>
          <w:sz w:val="56"/>
          <w:szCs w:val="56"/>
        </w:rPr>
        <w:t xml:space="preserve"> </w:t>
      </w:r>
      <w:r w:rsidR="00CB7978" w:rsidRPr="00CB7978">
        <w:t>Gene set enrichment analysis (GSEA)</w:t>
      </w:r>
      <w:r w:rsidR="00CB7978">
        <w:t xml:space="preserve">, </w:t>
      </w:r>
      <w:r w:rsidR="00CB7978" w:rsidRPr="00CB7978">
        <w:t>is a method to identify classes of genes that are over-represented in a large set of genes.</w:t>
      </w:r>
      <w:r w:rsidR="001523D4">
        <w:t xml:space="preserve"> </w:t>
      </w:r>
    </w:p>
    <w:p w14:paraId="598ED4E5" w14:textId="6FA4C4C0" w:rsidR="001523D4" w:rsidRPr="00A76B81" w:rsidRDefault="001523D4" w:rsidP="001523D4">
      <w:pPr>
        <w:jc w:val="both"/>
        <w:rPr>
          <w:b/>
          <w:bCs/>
        </w:rPr>
      </w:pPr>
      <w:r w:rsidRPr="00A76B81">
        <w:rPr>
          <w:b/>
          <w:bCs/>
        </w:rPr>
        <w:t>Analysis</w:t>
      </w:r>
    </w:p>
    <w:p w14:paraId="6E159D60" w14:textId="4723BD23" w:rsidR="00CB7978" w:rsidRDefault="001523D4" w:rsidP="001523D4">
      <w:pPr>
        <w:jc w:val="both"/>
      </w:pPr>
      <w:r>
        <w:t>F</w:t>
      </w:r>
      <w:r w:rsidRPr="001523D4">
        <w:t>rom the previous section that our threshold is be a false discovery rate (FDR) of 0.1 (i.e. no more than 10% chance that the observed change in expression is due to chance). Not all the genes in the results from DESeq2 were assigned p-values so we'll start by filtering out the genes without p-values followed by storing the significant genes separately.</w:t>
      </w:r>
      <w:r w:rsidRPr="001523D4">
        <w:t xml:space="preserve"> </w:t>
      </w:r>
      <w:r>
        <w:t>1 Filter out  genes with no p-values</w:t>
      </w:r>
      <w:r>
        <w:t xml:space="preserve">  </w:t>
      </w:r>
      <w:r>
        <w:t>2 Keep significant genes on</w:t>
      </w:r>
      <w:r>
        <w:t xml:space="preserve">ly </w:t>
      </w:r>
      <w:r>
        <w:t># 3 How many significant genes did we get?</w:t>
      </w:r>
      <w:r>
        <w:t xml:space="preserve"> Last, </w:t>
      </w:r>
      <w:r w:rsidRPr="001523D4">
        <w:t>we use the Gene Ontology (GO)</w:t>
      </w:r>
      <w:r>
        <w:t xml:space="preserve"> to analysis.</w:t>
      </w:r>
    </w:p>
    <w:p w14:paraId="411BBD95" w14:textId="2E7A4183" w:rsidR="00CB7978" w:rsidRPr="00A76B81" w:rsidRDefault="000163CC" w:rsidP="001523D4">
      <w:pPr>
        <w:jc w:val="both"/>
        <w:rPr>
          <w:b/>
          <w:bCs/>
        </w:rPr>
      </w:pPr>
      <w:r w:rsidRPr="00A76B81">
        <w:rPr>
          <w:b/>
          <w:bCs/>
        </w:rPr>
        <w:t>Result</w:t>
      </w:r>
    </w:p>
    <w:p w14:paraId="233010B7" w14:textId="27D67E42" w:rsidR="00CB7978" w:rsidRPr="00CB7978" w:rsidRDefault="000163CC" w:rsidP="001523D4">
      <w:pPr>
        <w:jc w:val="both"/>
      </w:pPr>
      <w:r w:rsidRPr="000163CC">
        <w:rPr>
          <w:noProof/>
        </w:rPr>
        <w:drawing>
          <wp:inline distT="0" distB="0" distL="0" distR="0" wp14:anchorId="1E75DB93" wp14:editId="23525012">
            <wp:extent cx="2771775" cy="986155"/>
            <wp:effectExtent l="0" t="0" r="9525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986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7AB592" w14:textId="16664D82" w:rsidR="004D5E32" w:rsidRDefault="00A76B81" w:rsidP="004D5E32">
      <w:pPr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the expression values for a single gene.</w:t>
      </w:r>
    </w:p>
    <w:p w14:paraId="6DB82F31" w14:textId="64FC090B" w:rsidR="00A76B81" w:rsidRDefault="00A76B81" w:rsidP="004D5E32">
      <w:r w:rsidRPr="00A76B81">
        <w:rPr>
          <w:noProof/>
        </w:rPr>
        <w:drawing>
          <wp:inline distT="0" distB="0" distL="0" distR="0" wp14:anchorId="6F871954" wp14:editId="4053D0F4">
            <wp:extent cx="4572000" cy="15716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F3CE94" w14:textId="62D2D528" w:rsidR="00A76B81" w:rsidRDefault="00A76B81" w:rsidP="004D5E32">
      <w:r>
        <w:t xml:space="preserve">The expression values for 1000 genes </w:t>
      </w:r>
    </w:p>
    <w:p w14:paraId="4D485086" w14:textId="3178CA0C" w:rsidR="00A76B81" w:rsidRDefault="00A76B81" w:rsidP="004D5E32">
      <w:r w:rsidRPr="00A76B81">
        <w:rPr>
          <w:noProof/>
        </w:rPr>
        <w:lastRenderedPageBreak/>
        <w:drawing>
          <wp:inline distT="0" distB="0" distL="0" distR="0" wp14:anchorId="0AE45348" wp14:editId="5D53A95C">
            <wp:extent cx="3596005" cy="1951294"/>
            <wp:effectExtent l="0" t="0" r="444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6809" cy="19571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EBF8C4" w14:textId="6D9528ED" w:rsidR="0021586F" w:rsidRDefault="0021586F" w:rsidP="0021586F">
      <w:pPr>
        <w:jc w:val="both"/>
      </w:pPr>
      <w:r w:rsidRPr="0021586F">
        <w:t xml:space="preserve">The plot shows the log2 fold changes attributable to a given variable over the mean of normalized counts for all the samples in the </w:t>
      </w:r>
      <w:proofErr w:type="spellStart"/>
      <w:r w:rsidRPr="0021586F">
        <w:t>DESeqDataSet</w:t>
      </w:r>
      <w:proofErr w:type="spellEnd"/>
      <w:r w:rsidRPr="0021586F">
        <w:t>. Points represent genes and will be colored red if the adjusted p value is less than 0.1. Points which fall out of the window are plotted as open triangles pointing either up or down.</w:t>
      </w:r>
    </w:p>
    <w:p w14:paraId="0E500BA1" w14:textId="1267C490" w:rsidR="0021586F" w:rsidRDefault="0021586F" w:rsidP="0021586F">
      <w:pPr>
        <w:jc w:val="both"/>
      </w:pPr>
      <w:r w:rsidRPr="0021586F">
        <w:rPr>
          <w:noProof/>
        </w:rPr>
        <w:drawing>
          <wp:inline distT="0" distB="0" distL="0" distR="0" wp14:anchorId="37B262B9" wp14:editId="4EF6EC7F">
            <wp:extent cx="5695950" cy="16573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EC8561" w14:textId="165A7B6F" w:rsidR="0021586F" w:rsidRDefault="0021586F" w:rsidP="0021586F">
      <w:pPr>
        <w:jc w:val="both"/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 </w:t>
      </w:r>
      <w:r>
        <w:rPr>
          <w:rFonts w:ascii="Segoe UI" w:hAnsi="Segoe UI" w:cs="Segoe UI"/>
          <w:color w:val="24292E"/>
          <w:shd w:val="clear" w:color="auto" w:fill="FFFFFF"/>
        </w:rPr>
        <w:t>A</w:t>
      </w:r>
      <w:r>
        <w:rPr>
          <w:rFonts w:ascii="Segoe UI" w:hAnsi="Segoe UI" w:cs="Segoe UI"/>
          <w:color w:val="24292E"/>
          <w:shd w:val="clear" w:color="auto" w:fill="FFFFFF"/>
        </w:rPr>
        <w:t>dd a column that tell us whether each gene is significant.</w:t>
      </w: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</w:p>
    <w:p w14:paraId="283DFD4F" w14:textId="6B2419F1" w:rsidR="0021586F" w:rsidRDefault="0021586F" w:rsidP="0021586F">
      <w:pPr>
        <w:jc w:val="both"/>
      </w:pPr>
      <w:r w:rsidRPr="0021586F">
        <w:rPr>
          <w:noProof/>
        </w:rPr>
        <w:drawing>
          <wp:inline distT="0" distB="0" distL="0" distR="0" wp14:anchorId="10337409" wp14:editId="1634300D">
            <wp:extent cx="4124325" cy="234509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9214" cy="2353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042DBB" w14:textId="279CEC1E" w:rsidR="0021586F" w:rsidRDefault="00956CA3" w:rsidP="0021586F">
      <w:pPr>
        <w:jc w:val="both"/>
      </w:pPr>
      <w:r>
        <w:t xml:space="preserve">                                              G</w:t>
      </w:r>
      <w:r>
        <w:rPr>
          <w:rFonts w:hint="eastAsia"/>
        </w:rPr>
        <w:t>ene</w:t>
      </w:r>
      <w:r>
        <w:t xml:space="preserve"> </w:t>
      </w:r>
      <w:r>
        <w:rPr>
          <w:rFonts w:hint="eastAsia"/>
        </w:rPr>
        <w:t>sig</w:t>
      </w:r>
      <w:r>
        <w:t xml:space="preserve"> </w:t>
      </w:r>
      <w:r>
        <w:rPr>
          <w:rFonts w:hint="eastAsia"/>
        </w:rPr>
        <w:t>plot</w:t>
      </w:r>
    </w:p>
    <w:p w14:paraId="4A1AFC76" w14:textId="0854123D" w:rsidR="00956CA3" w:rsidRDefault="00956CA3" w:rsidP="0021586F">
      <w:pPr>
        <w:jc w:val="both"/>
      </w:pPr>
    </w:p>
    <w:p w14:paraId="1C4C59B2" w14:textId="3819C999" w:rsidR="00956CA3" w:rsidRDefault="00956CA3" w:rsidP="0021586F">
      <w:pPr>
        <w:jc w:val="both"/>
      </w:pPr>
    </w:p>
    <w:p w14:paraId="5057B471" w14:textId="34C7BD97" w:rsidR="00956CA3" w:rsidRDefault="00956CA3" w:rsidP="0021586F">
      <w:pPr>
        <w:jc w:val="both"/>
      </w:pPr>
      <w:r w:rsidRPr="00956CA3">
        <w:rPr>
          <w:noProof/>
        </w:rPr>
        <w:lastRenderedPageBreak/>
        <w:drawing>
          <wp:inline distT="0" distB="0" distL="0" distR="0" wp14:anchorId="25B470CB" wp14:editId="63E284A5">
            <wp:extent cx="3019425" cy="6762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C117C7" w14:textId="1B0E9C61" w:rsidR="00956CA3" w:rsidRDefault="00956CA3" w:rsidP="0021586F">
      <w:pPr>
        <w:jc w:val="both"/>
      </w:pPr>
      <w:r>
        <w:t xml:space="preserve">                                      K</w:t>
      </w:r>
      <w:r>
        <w:rPr>
          <w:rFonts w:hint="eastAsia"/>
        </w:rPr>
        <w:t>eep</w:t>
      </w:r>
      <w:r>
        <w:t xml:space="preserve"> </w:t>
      </w:r>
      <w:r>
        <w:rPr>
          <w:rFonts w:hint="eastAsia"/>
        </w:rPr>
        <w:t>sig</w:t>
      </w:r>
      <w:r>
        <w:t xml:space="preserve">  </w:t>
      </w:r>
      <w:r>
        <w:rPr>
          <w:rFonts w:hint="eastAsia"/>
        </w:rPr>
        <w:t>gene</w:t>
      </w:r>
    </w:p>
    <w:p w14:paraId="1A91EF03" w14:textId="36AE5463" w:rsidR="00956CA3" w:rsidRDefault="005460FD" w:rsidP="0021586F">
      <w:pPr>
        <w:jc w:val="both"/>
      </w:pPr>
      <w:r w:rsidRPr="005460FD">
        <w:rPr>
          <w:noProof/>
        </w:rPr>
        <w:drawing>
          <wp:inline distT="0" distB="0" distL="0" distR="0" wp14:anchorId="17AEF142" wp14:editId="7CDC9E35">
            <wp:extent cx="4324350" cy="1611929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2609" cy="16150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E81AA0" w14:textId="361BC24B" w:rsidR="005460FD" w:rsidRDefault="005460FD" w:rsidP="0021586F">
      <w:pPr>
        <w:jc w:val="both"/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 xml:space="preserve"> The genes in this dataset use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Ensembl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indentifiers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, while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enrichR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expects gene symbols. We'll use the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biomaRt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package to map our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Ensembl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IDs to gene symbols.</w:t>
      </w:r>
    </w:p>
    <w:p w14:paraId="61F97A4E" w14:textId="6E843D3C" w:rsidR="005460FD" w:rsidRDefault="005460FD" w:rsidP="0021586F">
      <w:pPr>
        <w:jc w:val="both"/>
      </w:pPr>
      <w:r w:rsidRPr="005460FD">
        <w:rPr>
          <w:noProof/>
        </w:rPr>
        <w:drawing>
          <wp:inline distT="0" distB="0" distL="0" distR="0" wp14:anchorId="6533DB7B" wp14:editId="172F4344">
            <wp:extent cx="5824855" cy="500380"/>
            <wp:effectExtent l="0" t="0" r="444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4855" cy="50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2E091A" w14:textId="6E4E7172" w:rsidR="005460FD" w:rsidRDefault="005460FD" w:rsidP="0021586F">
      <w:pPr>
        <w:jc w:val="both"/>
      </w:pPr>
      <w:r w:rsidRPr="005460FD">
        <w:t>No genes can be compared</w:t>
      </w:r>
    </w:p>
    <w:p w14:paraId="52632457" w14:textId="7DCA6121" w:rsidR="007A4363" w:rsidRDefault="007A4363" w:rsidP="0021586F">
      <w:pPr>
        <w:jc w:val="both"/>
      </w:pPr>
      <w:r>
        <w:t>C</w:t>
      </w:r>
      <w:r>
        <w:rPr>
          <w:rFonts w:hint="eastAsia"/>
        </w:rPr>
        <w:t>onclusion</w:t>
      </w:r>
    </w:p>
    <w:p w14:paraId="74EC95AB" w14:textId="1E313361" w:rsidR="007A4363" w:rsidRDefault="007A4363" w:rsidP="007A4363">
      <w:pPr>
        <w:jc w:val="both"/>
      </w:pPr>
      <w:r w:rsidRPr="007A4363">
        <w:t>Through the T test of a single gene, the difference in mean is very small relative to the variance, hence the large p-value.</w:t>
      </w:r>
      <w:r>
        <w:t xml:space="preserve"> </w:t>
      </w:r>
      <w:r w:rsidRPr="007A4363">
        <w:t>With control experiments and filtering non-significant cells, it is found that the significant cells are low</w:t>
      </w:r>
      <w:r>
        <w:rPr>
          <w:rFonts w:hint="eastAsia"/>
        </w:rPr>
        <w:t>.</w:t>
      </w:r>
      <w:r>
        <w:t xml:space="preserve"> </w:t>
      </w:r>
      <w:r w:rsidRPr="007A4363">
        <w:t>There is no significant relationship between it and dexamethasone</w:t>
      </w:r>
      <w:r>
        <w:t xml:space="preserve">. </w:t>
      </w:r>
      <w:r w:rsidRPr="007A4363">
        <w:t>Gene set enrichment analysis (GSEA) is a method to identify classes of genes that are over-represented in a large set of genes. After database comparison, there are no similar genes</w:t>
      </w:r>
      <w:r>
        <w:t>.</w:t>
      </w:r>
    </w:p>
    <w:p w14:paraId="7398FEB1" w14:textId="584FA076" w:rsidR="007A4363" w:rsidRPr="007A4363" w:rsidRDefault="007A4363" w:rsidP="007A4363">
      <w:pPr>
        <w:jc w:val="both"/>
      </w:pPr>
      <w:r w:rsidRPr="007A4363">
        <w:t xml:space="preserve">Overall, this analysis has no data showing that </w:t>
      </w:r>
      <w:proofErr w:type="spellStart"/>
      <w:r w:rsidRPr="007A4363">
        <w:t>Dex</w:t>
      </w:r>
      <w:proofErr w:type="spellEnd"/>
      <w:r w:rsidRPr="007A4363">
        <w:t xml:space="preserve"> can </w:t>
      </w:r>
      <w:r>
        <w:t>relate to</w:t>
      </w:r>
      <w:r w:rsidRPr="007A4363">
        <w:t xml:space="preserve"> the RNA sequence of asthma patients</w:t>
      </w:r>
    </w:p>
    <w:p w14:paraId="57FD1D95" w14:textId="77777777" w:rsidR="007A4363" w:rsidRDefault="007A4363" w:rsidP="0021586F">
      <w:pPr>
        <w:jc w:val="both"/>
        <w:rPr>
          <w:rFonts w:hint="eastAsia"/>
        </w:rPr>
      </w:pPr>
    </w:p>
    <w:p w14:paraId="42784A6B" w14:textId="77777777" w:rsidR="004D5E32" w:rsidRDefault="004D5E32" w:rsidP="004D5E32">
      <w:pPr>
        <w:jc w:val="center"/>
      </w:pPr>
    </w:p>
    <w:sectPr w:rsidR="004D5E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5254FE"/>
    <w:multiLevelType w:val="hybridMultilevel"/>
    <w:tmpl w:val="9FAC1C98"/>
    <w:lvl w:ilvl="0" w:tplc="7AC0BBB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5B0AE7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A9AAB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4DE02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A60F8E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5CC5C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5A2303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6AE7D4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820B6D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6FA01C47"/>
    <w:multiLevelType w:val="hybridMultilevel"/>
    <w:tmpl w:val="008416EC"/>
    <w:lvl w:ilvl="0" w:tplc="C37A911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376612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3368F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432277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B0C24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4304C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BFE84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7EE832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0001C6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7AE505F4"/>
    <w:multiLevelType w:val="hybridMultilevel"/>
    <w:tmpl w:val="2AFA05FE"/>
    <w:lvl w:ilvl="0" w:tplc="623643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99EC5D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BD656C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A4C6F1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8F09B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94866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A9E42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040CE8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10293E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E32"/>
    <w:rsid w:val="000163CC"/>
    <w:rsid w:val="00020F0B"/>
    <w:rsid w:val="001523D4"/>
    <w:rsid w:val="0021586F"/>
    <w:rsid w:val="004D5E32"/>
    <w:rsid w:val="005460FD"/>
    <w:rsid w:val="007A4363"/>
    <w:rsid w:val="00956CA3"/>
    <w:rsid w:val="00A727E7"/>
    <w:rsid w:val="00A76B81"/>
    <w:rsid w:val="00CB7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C39E8E"/>
  <w15:chartTrackingRefBased/>
  <w15:docId w15:val="{8D39394E-7F43-4500-ADE7-C38CAD057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7978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9748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77396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03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1154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40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0893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2740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9851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3515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344</TotalTime>
  <Pages>3</Pages>
  <Words>457</Words>
  <Characters>2607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Yanyan Deng</dc:creator>
  <cp:keywords/>
  <dc:description/>
  <cp:lastModifiedBy>Yanyan Deng</cp:lastModifiedBy>
  <cp:revision>3</cp:revision>
  <dcterms:created xsi:type="dcterms:W3CDTF">2020-09-02T01:45:00Z</dcterms:created>
  <dcterms:modified xsi:type="dcterms:W3CDTF">2020-09-02T07:29:00Z</dcterms:modified>
</cp:coreProperties>
</file>