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1. Báo cáo tài chính và chỉ số tài chính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numPr>
          <w:ilvl w:val="0"/>
          <w:numId w:val="12"/>
        </w:numPr>
        <w:spacing w:before="28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bazhq8gog9vi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Chỉ số tài chính nổi bật năm 2024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Chỉ số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Giá trị năm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So với năm 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~11%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Tăng nhẹ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ROE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~27,5%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Ổn định cao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Biên lợi nhuận gộp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~39,6%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Duy trì ổn định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6.340 đồng/cp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Tăng nhẹ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Tỷ lệ nợ/tổng tài sản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~50%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434343"/>
                <w:sz w:val="26"/>
                <w:szCs w:val="26"/>
                <w:rtl w:val="0"/>
              </w:rPr>
              <w:t xml:space="preserve">Không biến động lớlớn</w:t>
            </w:r>
          </w:p>
        </w:tc>
      </w:tr>
    </w:tbl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fqhmvj4yixhf" w:id="1"/>
      <w:bookmarkEnd w:id="1"/>
      <w:r w:rsidDel="00000000" w:rsidR="00000000" w:rsidRPr="00000000">
        <w:rPr>
          <w:rFonts w:ascii="Caudex" w:cs="Caudex" w:eastAsia="Caudex" w:hAnsi="Caudex"/>
          <w:sz w:val="26"/>
          <w:szCs w:val="26"/>
          <w:rtl w:val="0"/>
        </w:rPr>
        <w:t xml:space="preserve">Tổng tài sản: 62.225 tỷ</w:t>
        <w:br w:type="textWrapping"/>
        <w:t xml:space="preserve"> Doanh thu 2024: 62.757 tỷ (↑ 19,6%)</w:t>
        <w:br w:type="textWrapping"/>
        <w:t xml:space="preserve"> Lợi nhuận sau thuế: 9.744 tỷ (↑ 19,4%)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9"/>
        </w:numPr>
        <w:spacing w:after="0" w:afterAutospacing="0" w:before="28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rcxw33iahg4y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Xu hướng tài chính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Doanh thu và lợi nhuận tăng đều qua các năm nhờ:</w:t>
      </w:r>
    </w:p>
    <w:p w:rsidR="00000000" w:rsidDel="00000000" w:rsidP="00000000" w:rsidRDefault="00000000" w:rsidRPr="00000000" w14:paraId="0000001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Mảng công nghệ (đặc biệt là xuất khẩu phần mềm) tăng trưởng ấn tượng.</w:t>
      </w:r>
    </w:p>
    <w:p w:rsidR="00000000" w:rsidDel="00000000" w:rsidP="00000000" w:rsidRDefault="00000000" w:rsidRPr="00000000" w14:paraId="0000001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Chi phí được kiểm soát tốt giúp biên lợi nhuận giữ ổn định (~13–15% ROS).</w:t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ROA, ROE cao và ổn định, thể hiện hiệu quả sử dụng tài sản và vốn.</w:t>
      </w:r>
    </w:p>
    <w:p w:rsidR="00000000" w:rsidDel="00000000" w:rsidP="00000000" w:rsidRDefault="00000000" w:rsidRPr="00000000" w14:paraId="0000001B">
      <w:pPr>
        <w:numPr>
          <w:ilvl w:val="0"/>
          <w:numId w:val="11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Nợ ngắn hạn chiếm tỷ trọng lớn (70–80% tổng nợ), nhưng được quản lý tốt nhờ dòng tiền ổn định từ hoạt động kinh doanh.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37ov68oi07h1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So sánh với ngành và đối thủ (CMG)</w:t>
      </w: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3390"/>
        <w:gridCol w:w="3240"/>
        <w:tblGridChange w:id="0">
          <w:tblGrid>
            <w:gridCol w:w="2370"/>
            <w:gridCol w:w="3390"/>
            <w:gridCol w:w="32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Tiêu chí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FPT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CMG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Doanh thu 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62.757 tỷ đồng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~8.932 tỷ đồng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~11%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~1-2%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ROE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27,5%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~3-4%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Biên lợi nhuận ROS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~13-15%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~3-5%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6.340 nghìn đồng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2.218 nghìn đồng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Quy mô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Dẫn đầu ngành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Quy mô nhỏ, đang mở rộng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xét: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FPT vượt trội về quy mô, hiệu quả tài chính và tăng trưởng bền vững.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CMG đang cải thiện biên lợi nhuận nhưng còn yếu về tỷ suất sinh lời và đòn bẩy tài chính cao hơn.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FPT phù hợp với đầu tư dài hạn, trong khi CMG tiềm năng nhưng rủi ro cao hơn.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bookmarkStart w:colFirst="0" w:colLast="0" w:name="_ilfcnz52bam3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Sự kiện doanh nghiệp và chính sách cổ tức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numPr>
          <w:ilvl w:val="0"/>
          <w:numId w:val="18"/>
        </w:numPr>
        <w:spacing w:after="0" w:afterAutospacing="0" w:before="28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irwyut3eql6q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Cổ tức và phát hành cổ phiếu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FPT duy trì chính sách cổ tức tiền mặt đều đặn, thường &gt;2.000 đồng/cp mỗi năm.</w:t>
      </w:r>
    </w:p>
    <w:p w:rsidR="00000000" w:rsidDel="00000000" w:rsidP="00000000" w:rsidRDefault="00000000" w:rsidRPr="00000000" w14:paraId="0000003A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Năm 2024: chi trả cổ tức tiền mặt 2.000 đồng/cp + cổ phiếu thưởng 10%.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Tác động: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Cổ tức tiền mặt giúp thu hút nhà đầu tư dài hạn.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hành cổ phiếu thưởng có thể làm pha loãng EPS nhẹ, nhưng hỗ trợ thanh khoản và vốn hóa thị trường.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Tác động giá cổ phiếu: có thể điều chỉnh nhẹ ngắn hạn khi chốt quyền, nhưng trung-dài hạn vẫn tích cực nhờ nền tảng tăng trưởng tốt.</w:t>
      </w:r>
    </w:p>
    <w:p w:rsidR="00000000" w:rsidDel="00000000" w:rsidP="00000000" w:rsidRDefault="00000000" w:rsidRPr="00000000" w14:paraId="0000003F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Sự kiện doanh nghiệp nổi bật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Họp cổ đông 2024: xác định các định hướng chính:</w:t>
      </w:r>
    </w:p>
    <w:p w:rsidR="00000000" w:rsidDel="00000000" w:rsidP="00000000" w:rsidRDefault="00000000" w:rsidRPr="00000000" w14:paraId="00000041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Mở rộng thị trường quốc tế (Mỹ, Nhật, EU).</w:t>
      </w:r>
    </w:p>
    <w:p w:rsidR="00000000" w:rsidDel="00000000" w:rsidP="00000000" w:rsidRDefault="00000000" w:rsidRPr="00000000" w14:paraId="00000042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Đẩy mạnh đầu tư vào AI, trung tâm dữ liệu, dịch vụ chuyển đổi số.</w:t>
      </w:r>
    </w:p>
    <w:p w:rsidR="00000000" w:rsidDel="00000000" w:rsidP="00000000" w:rsidRDefault="00000000" w:rsidRPr="00000000" w14:paraId="00000043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Kế hoạch tăng vốn điều lệ qua chia cổ phiếu thưởng.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Duy trì chiến lược tăng trưởng kép 2 chữ số trong 5 năm tới.</w:t>
      </w:r>
    </w:p>
    <w:p w:rsidR="00000000" w:rsidDel="00000000" w:rsidP="00000000" w:rsidRDefault="00000000" w:rsidRPr="00000000" w14:paraId="0000004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Tổng kết</w:t>
      </w:r>
    </w:p>
    <w:p w:rsidR="00000000" w:rsidDel="00000000" w:rsidP="00000000" w:rsidRDefault="00000000" w:rsidRPr="00000000" w14:paraId="0000004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FPT có nền tảng tài chính vững chắc, tăng trưởng ổn định, hiệu quả sử dụng vốn tốt.</w:t>
      </w:r>
    </w:p>
    <w:p w:rsidR="00000000" w:rsidDel="00000000" w:rsidP="00000000" w:rsidRDefault="00000000" w:rsidRPr="00000000" w14:paraId="0000004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Chính sách cổ tức đều, kết hợp với đầu tư chiến lược dài hạn giúp FPT giữ vững vị thế hàng đầu ngành công nghệ Việt Nam.</w:t>
      </w:r>
    </w:p>
    <w:p w:rsidR="00000000" w:rsidDel="00000000" w:rsidP="00000000" w:rsidRDefault="00000000" w:rsidRPr="00000000" w14:paraId="00000048">
      <w:pPr>
        <w:numPr>
          <w:ilvl w:val="0"/>
          <w:numId w:val="2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Là cổ phiếu phù hợp với nhà đầu tư trung – dài hạn, ưu tiên sự ổn định và tăng trưởng bền vững.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Tác động đến cổ phiếu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Tích cực</w:t>
      </w:r>
    </w:p>
    <w:p w:rsidR="00000000" w:rsidDel="00000000" w:rsidP="00000000" w:rsidRDefault="00000000" w:rsidRPr="00000000" w14:paraId="0000004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Tăng trưởng doanh thu và lợi nhuận mạnh mẽ</w:t>
      </w:r>
    </w:p>
    <w:p w:rsidR="00000000" w:rsidDel="00000000" w:rsidP="00000000" w:rsidRDefault="00000000" w:rsidRPr="00000000" w14:paraId="0000004C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Doanh thu 2024 tăng 19,6%, lợi nhuận sau thuế đạt gần 10.000 tỷ đồng.</w:t>
      </w:r>
    </w:p>
    <w:p w:rsidR="00000000" w:rsidDel="00000000" w:rsidP="00000000" w:rsidRDefault="00000000" w:rsidRPr="00000000" w14:paraId="0000004D">
      <w:pPr>
        <w:numPr>
          <w:ilvl w:val="1"/>
          <w:numId w:val="2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Điều này củng cố niềm tin nhà đầu tư, thu hút dòng tiền dài hạn.</w:t>
      </w:r>
    </w:p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Chỉ số tài chính vượt trội</w:t>
      </w:r>
    </w:p>
    <w:p w:rsidR="00000000" w:rsidDel="00000000" w:rsidP="00000000" w:rsidRDefault="00000000" w:rsidRPr="00000000" w14:paraId="0000004F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ROE ~27,5% và EPS 6.340 đồng/cp cho thấy hiệu quả sử dụng vốn cao.</w:t>
        <w:br w:type="textWrapping"/>
      </w:r>
    </w:p>
    <w:p w:rsidR="00000000" w:rsidDel="00000000" w:rsidP="00000000" w:rsidRDefault="00000000" w:rsidRPr="00000000" w14:paraId="00000050">
      <w:pPr>
        <w:numPr>
          <w:ilvl w:val="1"/>
          <w:numId w:val="23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So với trung bình ngành (ROE 15–18%), FPT đang ở mức rất hấp dẫn.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904vrhtzgvky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Chính sách cổ tức ổn định</w:t>
      </w:r>
    </w:p>
    <w:p w:rsidR="00000000" w:rsidDel="00000000" w:rsidP="00000000" w:rsidRDefault="00000000" w:rsidRPr="00000000" w14:paraId="0000005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Trả cổ tức tiền mặt và cổ phiếu thưởng đều đặn → tăng sức hút với NĐT dài hạn.</w:t>
      </w:r>
    </w:p>
    <w:p w:rsidR="00000000" w:rsidDel="00000000" w:rsidP="00000000" w:rsidRDefault="00000000" w:rsidRPr="00000000" w14:paraId="0000005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Tăng tính thanh khoản, hỗ trợ giá cổ phiếu trong giai đoạn thị trường yếu.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3xpv2w182xi7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Mở rộng quốc tế và đầu tư chiến lược</w:t>
      </w:r>
    </w:p>
    <w:p w:rsidR="00000000" w:rsidDel="00000000" w:rsidP="00000000" w:rsidRDefault="00000000" w:rsidRPr="00000000" w14:paraId="0000005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M&amp;A với các công ty nước ngoài, hợp tác NVIDIA về AI → tăng giá trị dài hạn.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Phát triển trung tâm dữ liệu, mảng ô tô thông minh tạo câu chuyện tăng trưởng mới.</w:t>
      </w:r>
    </w:p>
    <w:p w:rsidR="00000000" w:rsidDel="00000000" w:rsidP="00000000" w:rsidRDefault="00000000" w:rsidRPr="00000000" w14:paraId="00000057">
      <w:pPr>
        <w:numPr>
          <w:ilvl w:val="0"/>
          <w:numId w:val="17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Tiêu cực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6oxwpffa3g2o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Rủi ro từ nợ ngắn hạn cao: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Dù tỷ lệ nợ/tài sản ổn định, nhưng nợ ngắn hạn chiếm đến 70–80% tổng nợ, có thể tạo áp lực thanh khoản nếu dòng tiền bị gián đoạn.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numPr>
          <w:ilvl w:val="0"/>
          <w:numId w:val="1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q1hpt7typsjo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Tăng trưởng EPS chậm lại</w:t>
      </w:r>
    </w:p>
    <w:p w:rsidR="00000000" w:rsidDel="00000000" w:rsidP="00000000" w:rsidRDefault="00000000" w:rsidRPr="00000000" w14:paraId="0000005A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EPS không bứt phá từ 2018 đến 2024 (~5.000–6.300 đồng), phản ánh sự pha loãng hoặc chi phí tăng.</w:t>
      </w:r>
    </w:p>
    <w:p w:rsidR="00000000" w:rsidDel="00000000" w:rsidP="00000000" w:rsidRDefault="00000000" w:rsidRPr="00000000" w14:paraId="0000005B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Có thể giảm hấp dẫn với nhà đầu tư ngắn hạn tìm kiếm tăng trưởng EPS nhanh.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bookmarkStart w:colFirst="0" w:colLast="0" w:name="_qaouh2ihbdyc" w:id="10"/>
      <w:bookmarkEnd w:id="1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Áp lực điều chỉnh giá cổ phiếu: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Đầu 2025, FPT giảm hơn 16%, vốn hóa "bốc hơi" 33.000 tỷ đồng, do:</w:t>
      </w:r>
    </w:p>
    <w:p w:rsidR="00000000" w:rsidDel="00000000" w:rsidP="00000000" w:rsidRDefault="00000000" w:rsidRPr="00000000" w14:paraId="0000005D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Chốt lời sau chu kỳ tăng mạnh.</w:t>
      </w:r>
    </w:p>
    <w:p w:rsidR="00000000" w:rsidDel="00000000" w:rsidP="00000000" w:rsidRDefault="00000000" w:rsidRPr="00000000" w14:paraId="0000005E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Thị trường điều chỉnh chung nhóm công nghệ.</w:t>
      </w:r>
    </w:p>
    <w:p w:rsidR="00000000" w:rsidDel="00000000" w:rsidP="00000000" w:rsidRDefault="00000000" w:rsidRPr="00000000" w14:paraId="0000005F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Tâm lý tiêu cực từ nhà đầu tư ngắn hạn.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keepNext w:val="0"/>
        <w:keepLines w:val="0"/>
        <w:numPr>
          <w:ilvl w:val="0"/>
          <w:numId w:val="26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  <w:u w:val="none"/>
        </w:rPr>
      </w:pPr>
      <w:bookmarkStart w:colFirst="0" w:colLast="0" w:name="_fnnmcxsnqql" w:id="11"/>
      <w:bookmarkEnd w:id="11"/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Cạnh tranh quốc tế và rủi ro đầu tư dài hạn</w:t>
      </w:r>
    </w:p>
    <w:p w:rsidR="00000000" w:rsidDel="00000000" w:rsidP="00000000" w:rsidRDefault="00000000" w:rsidRPr="00000000" w14:paraId="00000061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Khi mở rộng sang Mỹ, Nhật, FPT phải đối mặt với đối thủ lớn (Accenture, TCS...), làm tăng chi phí vận hành.</w:t>
      </w:r>
    </w:p>
    <w:p w:rsidR="00000000" w:rsidDel="00000000" w:rsidP="00000000" w:rsidRDefault="00000000" w:rsidRPr="00000000" w14:paraId="00000062">
      <w:pPr>
        <w:numPr>
          <w:ilvl w:val="1"/>
          <w:numId w:val="26"/>
        </w:numPr>
        <w:spacing w:after="24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mảng như AI, giáo dục, trung tâm dữ liệu đòi hỏi vốn lớn, chậm hoàn vốn, làm giảm biên lợi nhuận trong ngắn hạn.</w:t>
        <w:br w:type="textWrapping"/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