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в том числе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 xml:space="preserve">Федеральная антимонопольная служба регулирует тарифы на электроэнергию в различных субъектах Российской Федерации (от 3 до 9 руб за </w:t>
      </w:r>
      <w:r>
        <w:rPr>
          <w:sz w:val="24"/>
          <w:szCs w:val="24"/>
        </w:rPr>
        <w:t>кВт/ч</w:t>
      </w:r>
      <w:r>
        <w:rPr>
          <w:sz w:val="28"/>
          <w:szCs w:val="28"/>
        </w:rPr>
        <w:t>). В зависимости от рабочих часов в месяц веб-студией тратится определённое количество электроэнергии, из чего складывается стоимость этого ресурса за месяц.</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1.1 Время 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&lt; 120 дней — «Отлично»</w:t>
            </w:r>
          </w:p>
        </w:tc>
      </w:tr>
      <w:tr>
        <w:trPr/>
        <w:tc>
          <w:tcPr>
            <w:tcW w:w="2613" w:type="dxa"/>
            <w:tcBorders/>
          </w:tcPr>
          <w:p>
            <w:pPr>
              <w:pStyle w:val="Style30"/>
              <w:widowControl w:val="false"/>
              <w:spacing w:lineRule="auto" w:line="360"/>
              <w:rPr>
                <w:sz w:val="24"/>
                <w:szCs w:val="24"/>
              </w:rPr>
            </w:pPr>
            <w:r>
              <w:rPr>
                <w:sz w:val="24"/>
                <w:szCs w:val="24"/>
              </w:rPr>
              <w:t>1.2 Конечная стоимость [11]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1.3 Показатель конверсии [12]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2.1 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2.2 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&lt; 181,33 или &gt; 289,14 — «Большая нагрузка»</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Оплата электроэнергии в месяц</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1656 — «Высокий»</w:t>
            </w:r>
          </w:p>
          <w:p>
            <w:pPr>
              <w:pStyle w:val="Style30"/>
              <w:widowControl w:val="false"/>
              <w:spacing w:lineRule="auto" w:line="360"/>
              <w:rPr>
                <w:sz w:val="24"/>
                <w:szCs w:val="24"/>
              </w:rPr>
            </w:pPr>
            <w:r>
              <w:rPr>
                <w:sz w:val="24"/>
                <w:szCs w:val="24"/>
              </w:rPr>
              <w:t>408 — 1656— «Средний»</w:t>
            </w:r>
          </w:p>
          <w:p>
            <w:pPr>
              <w:pStyle w:val="Style30"/>
              <w:widowControl w:val="false"/>
              <w:spacing w:lineRule="auto" w:line="360"/>
              <w:rPr>
                <w:sz w:val="24"/>
                <w:szCs w:val="24"/>
              </w:rPr>
            </w:pPr>
            <w:r>
              <w:rPr>
                <w:sz w:val="24"/>
                <w:szCs w:val="24"/>
              </w:rPr>
              <w:t>&lt; 408 — «Низкий»</w:t>
            </w:r>
          </w:p>
        </w:tc>
      </w:tr>
    </w:tbl>
    <w:p>
      <w:pPr>
        <w:pStyle w:val="2"/>
        <w:keepNext w:val="true"/>
        <w:keepLines/>
        <w:widowControl w:val="false"/>
        <w:suppressAutoHyphens w:val="true"/>
        <w:bidi w:val="0"/>
        <w:spacing w:lineRule="auto" w:line="360"/>
        <w:ind w:left="0" w:hanging="0"/>
        <w:jc w:val="center"/>
        <w:rPr>
          <w:bCs/>
          <w:szCs w:val="28"/>
        </w:rPr>
      </w:pPr>
      <w:r>
        <w:rPr/>
        <w:t>2</w:t>
      </w:r>
      <w:bookmarkStart w:id="4" w:name="_Toc117370883"/>
      <w:r>
        <w:rPr/>
        <w:t xml:space="preserve">.2 </w:t>
      </w:r>
      <w:r>
        <w:rPr>
          <w:rFonts w:eastAsia="" w:cs="" w:cstheme="majorBidi" w:eastAsiaTheme="majorEastAsia"/>
          <w:b/>
          <w:color w:val="000000" w:themeColor="text1"/>
          <w:kern w:val="0"/>
          <w:sz w:val="28"/>
          <w:szCs w:val="26"/>
          <w:lang w:val="ru-RU" w:eastAsia="en-US" w:bidi="ar-SA"/>
        </w:rPr>
        <w:t>Модель</w:t>
      </w:r>
      <w:r>
        <w:rPr/>
        <w:t xml:space="preserve">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0" w:after="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В процессе построения модели состава системы была выполнена последовательная декомпозиция системы «Процесса разработки корпоративного сайта в web-студии» по двум стандартным основаниям декомпозиции: жизненному циклу процесса и технологическим этапам. Выбор в пользу данных оснований декомпозиции был сделан в связи с тем, что они позволяют поэтапно рассмотреть развитие системы с течением времени, которое затрачивается на выполнение заказа, чтобы в дальнейшем оценить материальные риски, которые могут привести к проблеме превышения бюджета на разработку корпоративного сайта.</w:t>
      </w:r>
    </w:p>
    <w:p>
      <w:pPr>
        <w:pStyle w:val="Normal"/>
        <w:widowControl w:val="false"/>
        <w:numPr>
          <w:ilvl w:val="0"/>
          <w:numId w:val="0"/>
        </w:numPr>
        <w:suppressAutoHyphens w:val="true"/>
        <w:bidi w:val="0"/>
        <w:spacing w:lineRule="auto" w:line="360" w:before="0" w:after="0"/>
        <w:ind w:left="57" w:right="0" w:firstLine="68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первом этапе декомпозиции системы было использовано стандартное основание декомпозиции «Жизненный цикл». Жизненный цикл системы составляет следующие процессы: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подразумевает под собой изучение организационной структуры компании, их миссии, стратегий и предпочтений, а также задач, которые ставит перед собой заказчик, составление технического задания и сметы проекта, и наконец, подписание договора на разработку. В ходе установления взаимоотношений организации-заказчика и web-студии может возникнуть проблема согласования и принятия решений со стороны заказчика, а также внесение им правок в готовый прототип, что в свою очередь приводит к увеличению срока согласования. В случае, если бюджет был поставлен в зависимость от поставленных сроков на разработку продукта, задержки со стороны заказчика могут привести к увеличению стоимости разработки. К тому же, на этапе составления сметы проекта могут не учитываться издержки, что также приводит к возникновению проблемы превышения бюджета.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включается в себя формирование дизайна в соответствие с фирменным стилем компании, адаптивную вёрстку и непосредственно программирование. На данном этапе есть риск смены сотрудников в web-студии и внесения изменений в согласованный продукт,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«Сопровождение» означает интеграцию корпоративного сайта с внешними системами, внесение информации на страницы сайта, внутреннюю SEO-оптимизацию, тестирование и окончательную публикацию сайта на выбранном хостинге. В случае, если заказчиком контент был предоставлен с опозданием или в ненадлежащем виде, то это приводит к дополнительным трудозатратам со стороны web-студии. Помимо этого добавление неоговоренных ранее услуг компанией-разработчиком, которые будут превышать бюджет на разработку корпоративного сайта, также выступает проблемой в данном исследовании.</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firstLine="794"/>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втором этапе декомпозиция системы производилась по стандартному основанию «Технологические этапы», в ходе которого вышеперечисленные этапы жизненного цикла были разбиты на подсистемы: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подразделяется на «Изучение рынка», состоящего в определении целевой аудитории, исследовании альтернативных решений в сфере деятельности компании; «Написание технического задания», заключающегося в постановке структуры, функционала и других требований, выявленных на этапе анализа и «Проектирование архитектуры сайта», подразумевающее непосредственно создание прототипа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разбивается на «Разработку дизайна» с учётом выявленных потребностей заказчика и целевой аудитории, «Реализацию основной части функционала», включающего в себя подключение или реализацию функциональных модулей, а также работу с базой данных, автоматизацию работы с документами и возможное выполнение неспецифичных задач на outsource. Последним технологическим этапом считается «Вёрстка», так как на ней готовый дизайн переносится на основу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Под «Сопровождением» подразумевается «Наполнение сайта контентом», что влияет не только на отношение посетителей к компании, но и доступность сайта в поисковых системах. Также сюда включается «Тестирование», в ходе которого тщательно проверяется отображение проекта на разных типах устройств и работоспособность всех функциональных возможностей. «Дополнительными услугами» могут быть внутренняя SEO-оптимизация, покупка и оформление лицензии на систему управления сайтом 1C:Битрикс и непосредственно запуск сайта на оформленном хостинге или сервере, подключение основного доменного имени, установка SSL сертификата и подключение веб-аналитики.</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drawing>
          <wp:anchor behindDoc="0" distT="0" distB="0" distL="0" distR="0" simplePos="0" locked="0" layoutInCell="0" allowOverlap="1" relativeHeight="3">
            <wp:simplePos x="0" y="0"/>
            <wp:positionH relativeFrom="column">
              <wp:align>center</wp:align>
            </wp:positionH>
            <wp:positionV relativeFrom="paragraph">
              <wp:posOffset>-26035</wp:posOffset>
            </wp:positionV>
            <wp:extent cx="3891915" cy="346964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3891915" cy="3469640"/>
                    </a:xfrm>
                    <a:prstGeom prst="rect">
                      <a:avLst/>
                    </a:prstGeom>
                  </pic:spPr>
                </pic:pic>
              </a:graphicData>
            </a:graphic>
          </wp:anchor>
        </w:drawing>
      </w:r>
      <w:r>
        <w:rPr>
          <w:rFonts w:eastAsia="" w:cs="" w:cstheme="majorBidi" w:eastAsiaTheme="majorEastAsia"/>
          <w:b w:val="false"/>
          <w:bCs w:val="false"/>
          <w:color w:val="000000" w:themeColor="text1"/>
          <w:kern w:val="0"/>
          <w:sz w:val="28"/>
          <w:szCs w:val="26"/>
          <w:lang w:val="ru-RU" w:eastAsia="en-US" w:bidi="ar-SA"/>
        </w:rPr>
        <w:t>Рисунок 2.2 — модель состава системы</w:t>
      </w:r>
    </w:p>
    <w:p>
      <w:pPr>
        <w:pStyle w:val="Normal"/>
        <w:widowControl w:val="false"/>
        <w:numPr>
          <w:ilvl w:val="0"/>
          <w:numId w:val="0"/>
        </w:numPr>
        <w:tabs>
          <w:tab w:val="clear" w:pos="720"/>
          <w:tab w:val="left" w:pos="1140" w:leader="none"/>
        </w:tabs>
        <w:suppressAutoHyphens w:val="true"/>
        <w:bidi w:val="0"/>
        <w:spacing w:lineRule="auto" w:line="360" w:before="0" w:after="0"/>
        <w:ind w:left="794"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
    </w:p>
    <w:p>
      <w:pPr>
        <w:pStyle w:val="Normal"/>
        <w:widowControl w:val="false"/>
        <w:numPr>
          <w:ilvl w:val="0"/>
          <w:numId w:val="0"/>
        </w:numPr>
        <w:tabs>
          <w:tab w:val="clear" w:pos="720"/>
          <w:tab w:val="left" w:pos="1140" w:leader="none"/>
        </w:tabs>
        <w:suppressAutoHyphens w:val="true"/>
        <w:bidi w:val="0"/>
        <w:spacing w:lineRule="auto" w:line="360" w:before="0" w:after="0"/>
        <w:ind w:left="0" w:right="0" w:firstLine="737"/>
        <w:jc w:val="left"/>
        <w:outlineLvl w:val="1"/>
        <w:rPr>
          <w:sz w:val="28"/>
          <w:szCs w:val="28"/>
        </w:rPr>
      </w:pPr>
      <w:r>
        <w:rPr>
          <w:sz w:val="28"/>
          <w:szCs w:val="28"/>
        </w:rPr>
        <w:t>Следующим этапом стало выделение структурных элементов для каждой из основных подсистем: «Анализа», «Разработки» и «Сопровождения» - результаты представлены в таблице 2.2.</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hanging="0"/>
        <w:jc w:val="left"/>
        <w:outlineLvl w:val="1"/>
        <w:rPr>
          <w:sz w:val="28"/>
          <w:szCs w:val="28"/>
        </w:rPr>
      </w:pPr>
      <w:r>
        <w:rPr>
          <w:sz w:val="28"/>
          <w:szCs w:val="28"/>
        </w:rPr>
        <w:t>Таблица 2.2 — Структурные элементы деятельности</w:t>
      </w:r>
    </w:p>
    <w:tbl>
      <w:tblPr>
        <w:tblW w:w="5000" w:type="pct"/>
        <w:jc w:val="left"/>
        <w:tblInd w:w="0" w:type="dxa"/>
        <w:tblLayout w:type="fixed"/>
        <w:tblCellMar>
          <w:top w:w="0" w:type="dxa"/>
          <w:left w:w="0" w:type="dxa"/>
          <w:bottom w:w="0" w:type="dxa"/>
          <w:right w:w="0" w:type="dxa"/>
        </w:tblCellMar>
      </w:tblPr>
      <w:tblGrid>
        <w:gridCol w:w="1243"/>
        <w:gridCol w:w="1530"/>
        <w:gridCol w:w="1898"/>
        <w:gridCol w:w="1556"/>
        <w:gridCol w:w="1559"/>
        <w:gridCol w:w="1567"/>
      </w:tblGrid>
      <w:tr>
        <w:trPr/>
        <w:tc>
          <w:tcPr>
            <w:tcW w:w="1243" w:type="dxa"/>
            <w:tcBorders/>
          </w:tcPr>
          <w:p>
            <w:pPr>
              <w:pStyle w:val="Style30"/>
              <w:widowControl w:val="false"/>
              <w:jc w:val="center"/>
              <w:rPr>
                <w:sz w:val="24"/>
                <w:szCs w:val="24"/>
              </w:rPr>
            </w:pPr>
            <w:r>
              <w:rPr>
                <w:sz w:val="24"/>
                <w:szCs w:val="24"/>
              </w:rPr>
              <w:t>Подсистема</w:t>
            </w:r>
          </w:p>
        </w:tc>
        <w:tc>
          <w:tcPr>
            <w:tcW w:w="1530" w:type="dxa"/>
            <w:tcBorders/>
          </w:tcPr>
          <w:p>
            <w:pPr>
              <w:pStyle w:val="Style30"/>
              <w:widowControl w:val="false"/>
              <w:jc w:val="center"/>
              <w:rPr>
                <w:sz w:val="24"/>
                <w:szCs w:val="24"/>
              </w:rPr>
            </w:pPr>
            <w:r>
              <w:rPr>
                <w:sz w:val="24"/>
                <w:szCs w:val="24"/>
              </w:rPr>
              <w:t>Предмет деятельности</w:t>
            </w:r>
          </w:p>
        </w:tc>
        <w:tc>
          <w:tcPr>
            <w:tcW w:w="1898" w:type="dxa"/>
            <w:tcBorders/>
          </w:tcPr>
          <w:p>
            <w:pPr>
              <w:pStyle w:val="Style30"/>
              <w:widowControl w:val="false"/>
              <w:jc w:val="center"/>
              <w:rPr>
                <w:sz w:val="24"/>
                <w:szCs w:val="24"/>
              </w:rPr>
            </w:pPr>
            <w:r>
              <w:rPr>
                <w:sz w:val="24"/>
                <w:szCs w:val="24"/>
              </w:rPr>
              <w:t>Средства деятельности</w:t>
            </w:r>
          </w:p>
        </w:tc>
        <w:tc>
          <w:tcPr>
            <w:tcW w:w="1556" w:type="dxa"/>
            <w:tcBorders/>
          </w:tcPr>
          <w:p>
            <w:pPr>
              <w:pStyle w:val="Style30"/>
              <w:widowControl w:val="false"/>
              <w:jc w:val="center"/>
              <w:rPr>
                <w:sz w:val="24"/>
                <w:szCs w:val="24"/>
              </w:rPr>
            </w:pPr>
            <w:r>
              <w:rPr>
                <w:sz w:val="24"/>
                <w:szCs w:val="24"/>
              </w:rPr>
              <w:t>Исполнители</w:t>
            </w:r>
          </w:p>
        </w:tc>
        <w:tc>
          <w:tcPr>
            <w:tcW w:w="1559" w:type="dxa"/>
            <w:tcBorders/>
          </w:tcPr>
          <w:p>
            <w:pPr>
              <w:pStyle w:val="Style30"/>
              <w:widowControl w:val="false"/>
              <w:jc w:val="center"/>
              <w:rPr>
                <w:sz w:val="24"/>
                <w:szCs w:val="24"/>
              </w:rPr>
            </w:pPr>
            <w:r>
              <w:rPr>
                <w:sz w:val="24"/>
                <w:szCs w:val="24"/>
              </w:rPr>
              <w:t>Регламент деятельности</w:t>
            </w:r>
          </w:p>
        </w:tc>
        <w:tc>
          <w:tcPr>
            <w:tcW w:w="1567" w:type="dxa"/>
            <w:tcBorders/>
          </w:tcPr>
          <w:p>
            <w:pPr>
              <w:pStyle w:val="Style30"/>
              <w:widowControl w:val="false"/>
              <w:jc w:val="center"/>
              <w:rPr>
                <w:sz w:val="24"/>
                <w:szCs w:val="24"/>
              </w:rPr>
            </w:pPr>
            <w:r>
              <w:rPr>
                <w:sz w:val="24"/>
                <w:szCs w:val="24"/>
              </w:rPr>
              <w:t>Конечный продукт</w:t>
            </w:r>
          </w:p>
        </w:tc>
      </w:tr>
      <w:tr>
        <w:trPr/>
        <w:tc>
          <w:tcPr>
            <w:tcW w:w="1243" w:type="dxa"/>
            <w:tcBorders/>
          </w:tcPr>
          <w:p>
            <w:pPr>
              <w:pStyle w:val="Style30"/>
              <w:widowControl w:val="false"/>
              <w:jc w:val="center"/>
              <w:rPr>
                <w:sz w:val="24"/>
                <w:szCs w:val="24"/>
              </w:rPr>
            </w:pPr>
            <w:r>
              <w:rPr>
                <w:sz w:val="24"/>
                <w:szCs w:val="24"/>
              </w:rPr>
              <w:t>Анализ</w:t>
            </w:r>
          </w:p>
        </w:tc>
        <w:tc>
          <w:tcPr>
            <w:tcW w:w="1530" w:type="dxa"/>
            <w:tcBorders/>
          </w:tcPr>
          <w:p>
            <w:pPr>
              <w:pStyle w:val="Style30"/>
              <w:widowControl w:val="false"/>
              <w:jc w:val="center"/>
              <w:rPr>
                <w:sz w:val="24"/>
                <w:szCs w:val="24"/>
              </w:rPr>
            </w:pPr>
            <w:r>
              <w:rPr>
                <w:sz w:val="24"/>
                <w:szCs w:val="24"/>
              </w:rPr>
              <w:t>Бриф</w:t>
            </w:r>
          </w:p>
        </w:tc>
        <w:tc>
          <w:tcPr>
            <w:tcW w:w="1898" w:type="dxa"/>
            <w:tcBorders/>
          </w:tcPr>
          <w:p>
            <w:pPr>
              <w:pStyle w:val="Style30"/>
              <w:widowControl w:val="false"/>
              <w:rPr>
                <w:sz w:val="24"/>
                <w:szCs w:val="24"/>
              </w:rPr>
            </w:pPr>
            <w:r>
              <w:rPr>
                <w:sz w:val="24"/>
                <w:szCs w:val="24"/>
              </w:rPr>
              <w:t>Офис, рабочие станции, среды разработки, инструмент для прототипирования, текстовый процессор, мессенджер для коммуникации с представителями заказчика</w:t>
            </w:r>
          </w:p>
        </w:tc>
        <w:tc>
          <w:tcPr>
            <w:tcW w:w="1556" w:type="dxa"/>
            <w:tcBorders/>
          </w:tcPr>
          <w:p>
            <w:pPr>
              <w:pStyle w:val="Style30"/>
              <w:widowControl w:val="false"/>
              <w:rPr>
                <w:sz w:val="24"/>
                <w:szCs w:val="24"/>
              </w:rPr>
            </w:pPr>
            <w:r>
              <w:rPr>
                <w:sz w:val="24"/>
                <w:szCs w:val="24"/>
              </w:rPr>
              <w:t>Заказчик, менеджер по продажам, менеджер проекта, арт-директор</w:t>
            </w:r>
          </w:p>
        </w:tc>
        <w:tc>
          <w:tcPr>
            <w:tcW w:w="1559" w:type="dxa"/>
            <w:tcBorders/>
          </w:tcPr>
          <w:p>
            <w:pPr>
              <w:pStyle w:val="Style30"/>
              <w:widowControl w:val="false"/>
              <w:rPr>
                <w:sz w:val="24"/>
                <w:szCs w:val="24"/>
              </w:rPr>
            </w:pPr>
            <w:r>
              <w:rPr>
                <w:sz w:val="24"/>
                <w:szCs w:val="24"/>
              </w:rPr>
              <w:t xml:space="preserve">ISO 9241-210:2019, </w:t>
              <w:br/>
              <w:t>ISO 9241-220:2019,</w:t>
            </w:r>
          </w:p>
        </w:tc>
        <w:tc>
          <w:tcPr>
            <w:tcW w:w="1567" w:type="dxa"/>
            <w:tcBorders/>
          </w:tcPr>
          <w:p>
            <w:pPr>
              <w:pStyle w:val="Style30"/>
              <w:widowControl w:val="false"/>
              <w:rPr>
                <w:sz w:val="24"/>
                <w:szCs w:val="24"/>
              </w:rPr>
            </w:pPr>
            <w:r>
              <w:rPr>
                <w:sz w:val="24"/>
                <w:szCs w:val="24"/>
              </w:rPr>
              <w:t>Прототип, договор</w:t>
            </w:r>
          </w:p>
        </w:tc>
      </w:tr>
      <w:tr>
        <w:trPr/>
        <w:tc>
          <w:tcPr>
            <w:tcW w:w="1243" w:type="dxa"/>
            <w:tcBorders/>
          </w:tcPr>
          <w:p>
            <w:pPr>
              <w:pStyle w:val="Style30"/>
              <w:widowControl w:val="false"/>
              <w:jc w:val="center"/>
              <w:rPr>
                <w:sz w:val="24"/>
                <w:szCs w:val="24"/>
              </w:rPr>
            </w:pPr>
            <w:r>
              <w:rPr>
                <w:sz w:val="24"/>
                <w:szCs w:val="24"/>
              </w:rPr>
              <w:t>Разработка</w:t>
            </w:r>
          </w:p>
        </w:tc>
        <w:tc>
          <w:tcPr>
            <w:tcW w:w="1530" w:type="dxa"/>
            <w:tcBorders/>
          </w:tcPr>
          <w:p>
            <w:pPr>
              <w:pStyle w:val="Style30"/>
              <w:widowControl w:val="false"/>
              <w:jc w:val="center"/>
              <w:rPr>
                <w:sz w:val="24"/>
                <w:szCs w:val="24"/>
              </w:rPr>
            </w:pPr>
            <w:r>
              <w:rPr>
                <w:sz w:val="24"/>
                <w:szCs w:val="24"/>
              </w:rPr>
              <w:t>Прототип</w:t>
            </w:r>
          </w:p>
        </w:tc>
        <w:tc>
          <w:tcPr>
            <w:tcW w:w="1898" w:type="dxa"/>
            <w:tcBorders/>
          </w:tcPr>
          <w:p>
            <w:pPr>
              <w:pStyle w:val="Style30"/>
              <w:widowControl w:val="false"/>
              <w:rPr>
                <w:sz w:val="24"/>
                <w:szCs w:val="24"/>
              </w:rPr>
            </w:pPr>
            <w:r>
              <w:rPr>
                <w:sz w:val="24"/>
                <w:szCs w:val="24"/>
              </w:rPr>
              <w:t xml:space="preserve">Офис, рабочие станции, среды разработки, языки программирования, языки управления базами данных, </w:t>
            </w:r>
            <w:r>
              <w:rPr>
                <w:sz w:val="24"/>
                <w:szCs w:val="24"/>
              </w:rPr>
              <w:t>outsource, квалификации разработчиков</w:t>
            </w:r>
          </w:p>
        </w:tc>
        <w:tc>
          <w:tcPr>
            <w:tcW w:w="1556" w:type="dxa"/>
            <w:tcBorders/>
          </w:tcPr>
          <w:p>
            <w:pPr>
              <w:pStyle w:val="Style30"/>
              <w:widowControl w:val="false"/>
              <w:rPr>
                <w:sz w:val="24"/>
                <w:szCs w:val="24"/>
              </w:rPr>
            </w:pPr>
            <w:r>
              <w:rPr>
                <w:sz w:val="24"/>
                <w:szCs w:val="24"/>
              </w:rPr>
              <w:t>Менеджер проекта, технический директор, веб-дизайнер, веб-программист</w:t>
            </w:r>
          </w:p>
        </w:tc>
        <w:tc>
          <w:tcPr>
            <w:tcW w:w="1559" w:type="dxa"/>
            <w:tcBorders/>
          </w:tcPr>
          <w:p>
            <w:pPr>
              <w:pStyle w:val="Style30"/>
              <w:widowControl w:val="false"/>
              <w:rPr>
                <w:sz w:val="24"/>
                <w:szCs w:val="24"/>
              </w:rPr>
            </w:pPr>
            <w:r>
              <w:rPr>
                <w:sz w:val="24"/>
                <w:szCs w:val="24"/>
              </w:rPr>
              <w:t>Техническое задание, смета разработки</w:t>
            </w:r>
          </w:p>
        </w:tc>
        <w:tc>
          <w:tcPr>
            <w:tcW w:w="1567" w:type="dxa"/>
            <w:tcBorders/>
          </w:tcPr>
          <w:p>
            <w:pPr>
              <w:pStyle w:val="Style30"/>
              <w:widowControl w:val="false"/>
              <w:rPr>
                <w:sz w:val="24"/>
                <w:szCs w:val="24"/>
              </w:rPr>
            </w:pPr>
            <w:r>
              <w:rPr>
                <w:sz w:val="24"/>
                <w:szCs w:val="24"/>
              </w:rPr>
              <w:t>Разработанный продукт</w:t>
            </w:r>
          </w:p>
        </w:tc>
      </w:tr>
      <w:tr>
        <w:trPr/>
        <w:tc>
          <w:tcPr>
            <w:tcW w:w="1243" w:type="dxa"/>
            <w:tcBorders/>
          </w:tcPr>
          <w:p>
            <w:pPr>
              <w:pStyle w:val="Style30"/>
              <w:widowControl w:val="false"/>
              <w:jc w:val="center"/>
              <w:rPr>
                <w:sz w:val="24"/>
                <w:szCs w:val="24"/>
              </w:rPr>
            </w:pPr>
            <w:r>
              <w:rPr>
                <w:sz w:val="24"/>
                <w:szCs w:val="24"/>
              </w:rPr>
              <w:t>Сопровождение</w:t>
            </w:r>
          </w:p>
        </w:tc>
        <w:tc>
          <w:tcPr>
            <w:tcW w:w="1530" w:type="dxa"/>
            <w:tcBorders/>
          </w:tcPr>
          <w:p>
            <w:pPr>
              <w:pStyle w:val="Style30"/>
              <w:widowControl w:val="false"/>
              <w:jc w:val="center"/>
              <w:rPr>
                <w:sz w:val="24"/>
                <w:szCs w:val="24"/>
              </w:rPr>
            </w:pPr>
            <w:r>
              <w:rPr>
                <w:sz w:val="24"/>
                <w:szCs w:val="24"/>
              </w:rPr>
              <w:t>Разработанный продукт</w:t>
            </w:r>
          </w:p>
        </w:tc>
        <w:tc>
          <w:tcPr>
            <w:tcW w:w="1898" w:type="dxa"/>
            <w:tcBorders/>
          </w:tcPr>
          <w:p>
            <w:pPr>
              <w:pStyle w:val="Style30"/>
              <w:widowControl w:val="false"/>
              <w:rPr>
                <w:sz w:val="24"/>
                <w:szCs w:val="24"/>
              </w:rPr>
            </w:pPr>
            <w:r>
              <w:rPr>
                <w:sz w:val="24"/>
                <w:szCs w:val="24"/>
              </w:rPr>
              <w:t xml:space="preserve">Офис, рабочие станции, среды разработки, мессенджеры для коммуникации с представителями заказчика, </w:t>
            </w:r>
            <w:r>
              <w:rPr>
                <w:sz w:val="24"/>
                <w:szCs w:val="24"/>
              </w:rPr>
              <w:t>контент заказчика,</w:t>
            </w:r>
            <w:r>
              <w:rPr>
                <w:sz w:val="24"/>
                <w:szCs w:val="24"/>
              </w:rPr>
              <w:t xml:space="preserve"> системы управления сайтом, платформы для веб-аналитики</w:t>
            </w:r>
          </w:p>
        </w:tc>
        <w:tc>
          <w:tcPr>
            <w:tcW w:w="1556" w:type="dxa"/>
            <w:tcBorders/>
          </w:tcPr>
          <w:p>
            <w:pPr>
              <w:pStyle w:val="Style30"/>
              <w:widowControl w:val="false"/>
              <w:rPr>
                <w:sz w:val="24"/>
                <w:szCs w:val="24"/>
              </w:rPr>
            </w:pPr>
            <w:r>
              <w:rPr>
                <w:sz w:val="24"/>
                <w:szCs w:val="24"/>
              </w:rPr>
              <w:t>Менеджер проекта, верстальщик, контент-менеджер, специалист по контекстной рекламе, SEO-специалист, тестировщик, маркетолог</w:t>
            </w:r>
          </w:p>
        </w:tc>
        <w:tc>
          <w:tcPr>
            <w:tcW w:w="1559" w:type="dxa"/>
            <w:tcBorders/>
          </w:tcPr>
          <w:p>
            <w:pPr>
              <w:pStyle w:val="Style30"/>
              <w:widowControl w:val="false"/>
              <w:rPr>
                <w:sz w:val="24"/>
                <w:szCs w:val="24"/>
              </w:rPr>
            </w:pPr>
            <w:r>
              <w:rPr>
                <w:sz w:val="24"/>
                <w:szCs w:val="24"/>
              </w:rPr>
              <w:t>План проведения функционального, регрессионного, комплексного и нагрузочного тестирования подсистем; план по SEO-оптимизации</w:t>
            </w:r>
          </w:p>
        </w:tc>
        <w:tc>
          <w:tcPr>
            <w:tcW w:w="1567" w:type="dxa"/>
            <w:tcBorders/>
          </w:tcPr>
          <w:p>
            <w:pPr>
              <w:pStyle w:val="Style30"/>
              <w:widowControl w:val="false"/>
              <w:rPr>
                <w:sz w:val="24"/>
                <w:szCs w:val="24"/>
              </w:rPr>
            </w:pPr>
            <w:r>
              <w:rPr>
                <w:sz w:val="24"/>
                <w:szCs w:val="24"/>
              </w:rPr>
              <w:t>Наполненный контентом продукт</w:t>
            </w:r>
          </w:p>
        </w:tc>
      </w:tr>
    </w:tbl>
    <w:p>
      <w:pPr>
        <w:pStyle w:val="Normal"/>
        <w:widowControl w:val="false"/>
        <w:numPr>
          <w:ilvl w:val="0"/>
          <w:numId w:val="0"/>
        </w:numPr>
        <w:suppressAutoHyphens w:val="true"/>
        <w:bidi w:val="0"/>
        <w:spacing w:lineRule="auto" w:line="360" w:before="285" w:after="405"/>
        <w:ind w:left="0"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9790" cy="323532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39790" cy="3235325"/>
                    </a:xfrm>
                    <a:prstGeom prst="rect">
                      <a:avLst/>
                    </a:prstGeom>
                  </pic:spPr>
                </pic:pic>
              </a:graphicData>
            </a:graphic>
          </wp:anchor>
        </w:drawing>
      </w:r>
      <w:r>
        <w:rPr>
          <w:rFonts w:eastAsia="" w:cs="" w:cstheme="majorBidi" w:eastAsiaTheme="majorEastAsia"/>
          <w:b w:val="false"/>
          <w:bCs w:val="false"/>
          <w:color w:val="000000" w:themeColor="text1"/>
          <w:kern w:val="0"/>
          <w:sz w:val="28"/>
          <w:szCs w:val="26"/>
          <w:lang w:val="ru-RU" w:eastAsia="en-US" w:bidi="ar-SA"/>
        </w:rPr>
        <w:t>Рисунок 2.3 — диаграмма взаимосвязи подсистем (уровень 2)</w:t>
      </w:r>
    </w:p>
    <w:p>
      <w:pPr>
        <w:pStyle w:val="Normal"/>
        <w:widowControl w:val="false"/>
        <w:numPr>
          <w:ilvl w:val="0"/>
          <w:numId w:val="0"/>
        </w:numPr>
        <w:suppressAutoHyphens w:val="true"/>
        <w:bidi w:val="0"/>
        <w:spacing w:lineRule="auto" w:line="360" w:before="171" w:after="291"/>
        <w:ind w:left="5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2.4 — диаграмма взаимосвязи подсистемы «Анализ»</w:t>
      </w:r>
    </w:p>
    <w:p>
      <w:pPr>
        <w:pStyle w:val="Normal"/>
        <w:widowControl w:val="false"/>
        <w:numPr>
          <w:ilvl w:val="0"/>
          <w:numId w:val="0"/>
        </w:numPr>
        <w:suppressAutoHyphens w:val="true"/>
        <w:bidi w:val="0"/>
        <w:spacing w:lineRule="auto" w:line="360" w:before="171" w:after="291"/>
        <w:ind w:left="57" w:right="0" w:hanging="0"/>
        <w:jc w:val="center"/>
        <w:outlineLvl w:val="1"/>
        <w:rPr/>
      </w:pPr>
      <w:r>
        <w:rPr>
          <w:rFonts w:eastAsia="" w:cs="" w:cstheme="majorBidi" w:eastAsiaTheme="majorEastAsia"/>
          <w:b w:val="false"/>
          <w:bCs w:val="false"/>
          <w:color w:val="000000" w:themeColor="text1"/>
          <w:kern w:val="0"/>
          <w:sz w:val="28"/>
          <w:szCs w:val="26"/>
          <w:lang w:val="ru-RU" w:eastAsia="en-US" w:bidi="ar-SA"/>
        </w:rPr>
        <w:t>Рисунок 2.5 — диаграмма взаимосвязи подсистемы «Разработка»</w:t>
      </w:r>
    </w:p>
    <w:p>
      <w:pPr>
        <w:pStyle w:val="Normal"/>
        <w:widowControl w:val="false"/>
        <w:numPr>
          <w:ilvl w:val="0"/>
          <w:numId w:val="0"/>
        </w:numPr>
        <w:suppressAutoHyphens w:val="true"/>
        <w:bidi w:val="0"/>
        <w:spacing w:lineRule="auto" w:line="360" w:before="171" w:after="291"/>
        <w:ind w:left="57" w:right="0" w:hanging="0"/>
        <w:jc w:val="center"/>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Рисунок 2.6 — диаграмма взаимосвязи подсистемы «Сопровождение»</w:t>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5">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6">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7">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8">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9">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10">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11">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2">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3">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4">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5">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6">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7">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8">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9">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20">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21">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2">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3">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4">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5">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6">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7">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Статья в журнале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 БИБОСС: Статья в журнале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Комсомольская Правда: Гид потребителя [Электронный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1PS.RU: Блог [Электронный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Официальный документ [Электронный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дата обращения: 16.10.2022;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8"/>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8922818"/>
    </w:sdtPr>
    <w:sdtContent>
      <w:p>
        <w:pPr>
          <w:pStyle w:val="Style27"/>
          <w:jc w:val="center"/>
          <w:rPr>
            <w:sz w:val="28"/>
            <w:szCs w:val="28"/>
          </w:rPr>
        </w:pPr>
        <w:r>
          <w:rPr/>
          <w:fldChar w:fldCharType="begin"/>
        </w:r>
        <w:r>
          <w:rPr/>
          <w:instrText xml:space="preserve"> PAGE </w:instrText>
        </w:r>
        <w:r>
          <w:rPr/>
          <w:fldChar w:fldCharType="separate"/>
        </w:r>
        <w:r>
          <w:rPr/>
          <w:t>32</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0" w:after="6"/>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u.wikipedia.org/wiki/&#1042;&#1077;&#1073;-&#1087;&#1088;&#1080;&#1083;&#1086;&#1078;&#1077;&#1085;&#1080;&#1077;" TargetMode="External"/><Relationship Id="rId6" Type="http://schemas.openxmlformats.org/officeDocument/2006/relationships/hyperlink" Target="http://www.rusnauka.com/16_ADEN_2011/Informatica/3_85389.doc.htm" TargetMode="External"/><Relationship Id="rId7" Type="http://schemas.openxmlformats.org/officeDocument/2006/relationships/hyperlink" Target="https://cmsmagazine.ru/journal/items-why-are-web-studio-disrupt-the-timing/" TargetMode="External"/><Relationship Id="rId8" Type="http://schemas.openxmlformats.org/officeDocument/2006/relationships/hyperlink" Target="https://cetera.ru/about/articles/what-is-web-studio/" TargetMode="External"/><Relationship Id="rId9" Type="http://schemas.openxmlformats.org/officeDocument/2006/relationships/hyperlink" Target="https://www.top-personal.ru/sdeloissue.html?800" TargetMode="External"/><Relationship Id="rId10" Type="http://schemas.openxmlformats.org/officeDocument/2006/relationships/hyperlink" Target="https://upravlenie-proektami.ru/chto-takoe-okruzhenie-proekta-i-pochemu-eto-vazhno" TargetMode="External"/><Relationship Id="rId11" Type="http://schemas.openxmlformats.org/officeDocument/2006/relationships/hyperlink" Target="https://vc.ru/flood/17250-web-rating" TargetMode="External"/><Relationship Id="rId12" Type="http://schemas.openxmlformats.org/officeDocument/2006/relationships/hyperlink" Target="https://ratingruneta.ru/web/" TargetMode="External"/><Relationship Id="rId13" Type="http://schemas.openxmlformats.org/officeDocument/2006/relationships/hyperlink" Target="https://www.purrweb.com/ru/uslugi/veb-razrabotka/" TargetMode="External"/><Relationship Id="rId14" Type="http://schemas.openxmlformats.org/officeDocument/2006/relationships/hyperlink" Target="https://web-creator.ru/articles/dev_details" TargetMode="External"/><Relationship Id="rId15" Type="http://schemas.openxmlformats.org/officeDocument/2006/relationships/hyperlink" Target="https://cmsmagazine.ru/journal/research-difficulties-faced-by-web-studio-clients/" TargetMode="External"/><Relationship Id="rId16" Type="http://schemas.openxmlformats.org/officeDocument/2006/relationships/hyperlink" Target="https://www.azoft.ru/blog/spa-mpa-pwa/" TargetMode="External"/><Relationship Id="rId17" Type="http://schemas.openxmlformats.org/officeDocument/2006/relationships/hyperlink" Target="https://www.thinkwithgoogle.com/marketing-strategies/app-and-mobile/mobile-page-speed-new-industry-benchmarks/" TargetMode="External"/><Relationship Id="rId18" Type="http://schemas.openxmlformats.org/officeDocument/2006/relationships/hyperlink" Target="https://www.elibrary.ru/item.asp?id=49381669" TargetMode="External"/><Relationship Id="rId19" Type="http://schemas.openxmlformats.org/officeDocument/2006/relationships/hyperlink" Target="https://www.elibrary.ru/item.asp?id=48224055" TargetMode="External"/><Relationship Id="rId20" Type="http://schemas.openxmlformats.org/officeDocument/2006/relationships/hyperlink" Target="https://www.kp.ru/guide/korporativnyi-sait.html" TargetMode="External"/><Relationship Id="rId21" Type="http://schemas.openxmlformats.org/officeDocument/2006/relationships/hyperlink" Target="https://www.azoft.ru/" TargetMode="External"/><Relationship Id="rId22" Type="http://schemas.openxmlformats.org/officeDocument/2006/relationships/hyperlink" Target="https://digimatix.ru/" TargetMode="External"/><Relationship Id="rId23" Type="http://schemas.openxmlformats.org/officeDocument/2006/relationships/hyperlink" Target="https://www.uplab.ru/" TargetMode="External"/><Relationship Id="rId24" Type="http://schemas.openxmlformats.org/officeDocument/2006/relationships/hyperlink" Target="https://www.webstripe.ru/" TargetMode="External"/><Relationship Id="rId25" Type="http://schemas.openxmlformats.org/officeDocument/2006/relationships/hyperlink" Target="https://cetera.ru/about/articles/creating-a-corporate-website/" TargetMode="External"/><Relationship Id="rId26" Type="http://schemas.openxmlformats.org/officeDocument/2006/relationships/hyperlink" Target="https://pixelplus.ru/prodvizhenie-sajtov/web-analitika/kpi/" TargetMode="External"/><Relationship Id="rId27" Type="http://schemas.openxmlformats.org/officeDocument/2006/relationships/hyperlink" Target="https://cmsmagazine.ru/journal/research-difficulties-faced-by-web-studio-clients/" TargetMode="Externa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Application>LibreOffice/7.4.2.3$Linux_X86_64 LibreOffice_project/40$Build-3</Application>
  <AppVersion>15.0000</AppVersion>
  <Pages>32</Pages>
  <Words>4103</Words>
  <Characters>31019</Characters>
  <CharactersWithSpaces>34920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2022-11-21T21:36:11Z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