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в том числе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 xml:space="preserve">Федеральная антимонопольная служба регулирует тарифы на электроэнергию в различных субъектах Российской Федерации (от 3 до 9 руб за </w:t>
      </w:r>
      <w:r>
        <w:rPr>
          <w:sz w:val="24"/>
          <w:szCs w:val="24"/>
        </w:rPr>
        <w:t>кВт/ч</w:t>
      </w:r>
      <w:r>
        <w:rPr>
          <w:sz w:val="28"/>
          <w:szCs w:val="28"/>
        </w:rPr>
        <w:t>). В зависимости от рабочих часов в месяц веб-студией тратится определённое количество электроэнергии, из чего складывается стоимость этого ресурса за месяц.</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1.1 Время 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&lt; 120 дней — «Отлично»</w:t>
            </w:r>
          </w:p>
        </w:tc>
      </w:tr>
      <w:tr>
        <w:trPr/>
        <w:tc>
          <w:tcPr>
            <w:tcW w:w="2613" w:type="dxa"/>
            <w:tcBorders/>
          </w:tcPr>
          <w:p>
            <w:pPr>
              <w:pStyle w:val="Style30"/>
              <w:widowControl w:val="false"/>
              <w:spacing w:lineRule="auto" w:line="360"/>
              <w:rPr>
                <w:sz w:val="24"/>
                <w:szCs w:val="24"/>
              </w:rPr>
            </w:pPr>
            <w:r>
              <w:rPr>
                <w:sz w:val="24"/>
                <w:szCs w:val="24"/>
              </w:rPr>
              <w:t>1.2 Конечная стоимость [11]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1.3 Показатель конверсии [12]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2.1 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2.2 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&lt; 181,33 или &gt; 289,14 — «Большая нагрузка»</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Оплата электроэнергии в месяц</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1656 — «Высокий»</w:t>
            </w:r>
          </w:p>
          <w:p>
            <w:pPr>
              <w:pStyle w:val="Style30"/>
              <w:widowControl w:val="false"/>
              <w:spacing w:lineRule="auto" w:line="360"/>
              <w:rPr>
                <w:sz w:val="24"/>
                <w:szCs w:val="24"/>
              </w:rPr>
            </w:pPr>
            <w:r>
              <w:rPr>
                <w:sz w:val="24"/>
                <w:szCs w:val="24"/>
              </w:rPr>
              <w:t>408 — 1656— «Средний»</w:t>
            </w:r>
          </w:p>
          <w:p>
            <w:pPr>
              <w:pStyle w:val="Style30"/>
              <w:widowControl w:val="false"/>
              <w:spacing w:lineRule="auto" w:line="360"/>
              <w:rPr>
                <w:sz w:val="24"/>
                <w:szCs w:val="24"/>
              </w:rPr>
            </w:pPr>
            <w:r>
              <w:rPr>
                <w:sz w:val="24"/>
                <w:szCs w:val="24"/>
              </w:rPr>
              <w:t>&lt; 408 — «Низкий»</w:t>
            </w:r>
          </w:p>
        </w:tc>
      </w:tr>
    </w:tbl>
    <w:p>
      <w:pPr>
        <w:pStyle w:val="2"/>
        <w:keepNext w:val="true"/>
        <w:keepLines/>
        <w:widowControl w:val="false"/>
        <w:suppressAutoHyphens w:val="true"/>
        <w:bidi w:val="0"/>
        <w:spacing w:lineRule="auto" w:line="360" w:before="171" w:after="291"/>
        <w:ind w:left="0" w:hanging="0"/>
        <w:rPr>
          <w:bCs/>
          <w:szCs w:val="28"/>
        </w:rPr>
      </w:pPr>
      <w:r>
        <w:rPr/>
        <w:t>2</w:t>
      </w:r>
      <w:bookmarkStart w:id="4" w:name="_Toc117370883"/>
      <w:r>
        <w:rPr/>
        <w:t xml:space="preserve">.2 Модель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171" w:after="291"/>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В процессе построения модели состава системы была выполнена последовательная декомпозиция системы «Процесса разработки корпоративного сайта в web-студии» по двум стандартным основаниям декомпозиции: жизненному циклу процесса и технологическим этапам.</w:t>
      </w:r>
    </w:p>
    <w:p>
      <w:pPr>
        <w:pStyle w:val="Normal"/>
        <w:widowControl w:val="false"/>
        <w:numPr>
          <w:ilvl w:val="0"/>
          <w:numId w:val="0"/>
        </w:numPr>
        <w:suppressAutoHyphens w:val="true"/>
        <w:bidi w:val="0"/>
        <w:spacing w:lineRule="auto" w:line="360" w:before="171" w:after="291"/>
        <w:ind w:left="737" w:right="0" w:hanging="0"/>
        <w:jc w:val="left"/>
        <w:outlineLvl w:val="1"/>
        <w:rPr>
          <w:rFonts w:ascii="Times New Roman" w:hAnsi="Times New Roman" w:eastAsia="" w:cs="" w:cstheme="majorBidi" w:eastAsiaTheme="majorEastAsia"/>
          <w:b/>
          <w:b/>
          <w:color w:val="000000" w:themeColor="text1"/>
          <w:kern w:val="0"/>
          <w:sz w:val="28"/>
          <w:szCs w:val="26"/>
          <w:lang w:val="ru-RU" w:eastAsia="en-US" w:bidi="ar-SA"/>
        </w:rPr>
      </w:pPr>
      <w:r>
        <w:rPr>
          <w:rFonts w:eastAsia="" w:cs="" w:cstheme="majorBidi" w:eastAsiaTheme="majorEastAsia"/>
          <w:b/>
          <w:color w:val="000000" w:themeColor="text1"/>
          <w:kern w:val="0"/>
          <w:sz w:val="28"/>
          <w:szCs w:val="26"/>
          <w:lang w:val="ru-RU" w:eastAsia="en-US" w:bidi="ar-SA"/>
        </w:rPr>
      </w:r>
    </w:p>
    <w:p>
      <w:pPr>
        <w:pStyle w:val="Normal"/>
        <w:widowControl w:val="false"/>
        <w:numPr>
          <w:ilvl w:val="0"/>
          <w:numId w:val="0"/>
        </w:numPr>
        <w:suppressAutoHyphens w:val="true"/>
        <w:bidi w:val="0"/>
        <w:spacing w:lineRule="auto" w:line="360" w:before="171" w:after="291"/>
        <w:ind w:left="737" w:right="0" w:hanging="0"/>
        <w:jc w:val="left"/>
        <w:outlineLvl w:val="1"/>
        <w:rPr>
          <w:rFonts w:ascii="Times New Roman" w:hAnsi="Times New Roman" w:eastAsia="" w:cs="" w:cstheme="majorBidi" w:eastAsiaTheme="majorEastAsia"/>
          <w:b/>
          <w:b/>
          <w:color w:val="000000" w:themeColor="text1"/>
          <w:kern w:val="0"/>
          <w:sz w:val="28"/>
          <w:szCs w:val="26"/>
          <w:lang w:val="ru-RU" w:eastAsia="en-US" w:bidi="ar-SA"/>
        </w:rPr>
      </w:pPr>
      <w:r>
        <w:rPr>
          <w:rFonts w:eastAsia="" w:cs="" w:cstheme="majorBidi" w:eastAsiaTheme="majorEastAsia"/>
          <w:b/>
          <w:color w:val="000000" w:themeColor="text1"/>
          <w:kern w:val="0"/>
          <w:sz w:val="28"/>
          <w:szCs w:val="26"/>
          <w:lang w:val="ru-RU"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09160" cy="419862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709160" cy="4198620"/>
                    </a:xfrm>
                    <a:prstGeom prst="rect">
                      <a:avLst/>
                    </a:prstGeom>
                  </pic:spPr>
                </pic:pic>
              </a:graphicData>
            </a:graphic>
          </wp:anchor>
        </w:drawing>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4">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5">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6">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7">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8">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9">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10">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1">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2">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3">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4">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5">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6">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7">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8">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9">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20">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1">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2">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3">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4">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5">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6">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Статья в журнале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 БИБОСС: Статья в журнале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Комсомольская Правда: Гид потребителя [Электронный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1PS.RU: Блог [Электронный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Официальный документ [Электронный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дата обращения: 16.10.2022;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7"/>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65847786"/>
    </w:sdtPr>
    <w:sdtContent>
      <w:p>
        <w:pPr>
          <w:pStyle w:val="Style27"/>
          <w:jc w:val="center"/>
          <w:rPr>
            <w:sz w:val="28"/>
            <w:szCs w:val="28"/>
          </w:rPr>
        </w:pPr>
        <w:r>
          <w:rPr/>
          <w:fldChar w:fldCharType="begin"/>
        </w:r>
        <w:r>
          <w:rPr/>
          <w:instrText xml:space="preserve"> PAGE </w:instrText>
        </w:r>
        <w:r>
          <w:rPr/>
          <w:fldChar w:fldCharType="separate"/>
        </w:r>
        <w:r>
          <w:rPr/>
          <w:t>29</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42;&#1077;&#1073;-&#1087;&#1088;&#1080;&#1083;&#1086;&#1078;&#1077;&#1085;&#1080;&#1077;" TargetMode="External"/><Relationship Id="rId5" Type="http://schemas.openxmlformats.org/officeDocument/2006/relationships/hyperlink" Target="http://www.rusnauka.com/16_ADEN_2011/Informatica/3_85389.doc.htm" TargetMode="External"/><Relationship Id="rId6" Type="http://schemas.openxmlformats.org/officeDocument/2006/relationships/hyperlink" Target="https://cmsmagazine.ru/journal/items-why-are-web-studio-disrupt-the-timing/" TargetMode="External"/><Relationship Id="rId7" Type="http://schemas.openxmlformats.org/officeDocument/2006/relationships/hyperlink" Target="https://cetera.ru/about/articles/what-is-web-studio/" TargetMode="External"/><Relationship Id="rId8" Type="http://schemas.openxmlformats.org/officeDocument/2006/relationships/hyperlink" Target="https://www.top-personal.ru/sdeloissue.html?800" TargetMode="External"/><Relationship Id="rId9" Type="http://schemas.openxmlformats.org/officeDocument/2006/relationships/hyperlink" Target="https://upravlenie-proektami.ru/chto-takoe-okruzhenie-proekta-i-pochemu-eto-vazhno" TargetMode="External"/><Relationship Id="rId10" Type="http://schemas.openxmlformats.org/officeDocument/2006/relationships/hyperlink" Target="https://vc.ru/flood/17250-web-rating" TargetMode="External"/><Relationship Id="rId11" Type="http://schemas.openxmlformats.org/officeDocument/2006/relationships/hyperlink" Target="https://ratingruneta.ru/web/" TargetMode="External"/><Relationship Id="rId12" Type="http://schemas.openxmlformats.org/officeDocument/2006/relationships/hyperlink" Target="https://www.purrweb.com/ru/uslugi/veb-razrabotka/" TargetMode="External"/><Relationship Id="rId13" Type="http://schemas.openxmlformats.org/officeDocument/2006/relationships/hyperlink" Target="https://web-creator.ru/articles/dev_details" TargetMode="External"/><Relationship Id="rId14" Type="http://schemas.openxmlformats.org/officeDocument/2006/relationships/hyperlink" Target="https://cmsmagazine.ru/journal/research-difficulties-faced-by-web-studio-clients/" TargetMode="External"/><Relationship Id="rId15" Type="http://schemas.openxmlformats.org/officeDocument/2006/relationships/hyperlink" Target="https://www.azoft.ru/blog/spa-mpa-pwa/" TargetMode="External"/><Relationship Id="rId16" Type="http://schemas.openxmlformats.org/officeDocument/2006/relationships/hyperlink" Target="https://www.thinkwithgoogle.com/marketing-strategies/app-and-mobile/mobile-page-speed-new-industry-benchmarks/" TargetMode="External"/><Relationship Id="rId17" Type="http://schemas.openxmlformats.org/officeDocument/2006/relationships/hyperlink" Target="https://www.elibrary.ru/item.asp?id=49381669" TargetMode="External"/><Relationship Id="rId18" Type="http://schemas.openxmlformats.org/officeDocument/2006/relationships/hyperlink" Target="https://www.elibrary.ru/item.asp?id=48224055" TargetMode="External"/><Relationship Id="rId19" Type="http://schemas.openxmlformats.org/officeDocument/2006/relationships/hyperlink" Target="https://www.kp.ru/guide/korporativnyi-sait.html" TargetMode="External"/><Relationship Id="rId20" Type="http://schemas.openxmlformats.org/officeDocument/2006/relationships/hyperlink" Target="https://www.azoft.ru/" TargetMode="External"/><Relationship Id="rId21" Type="http://schemas.openxmlformats.org/officeDocument/2006/relationships/hyperlink" Target="https://digimatix.ru/" TargetMode="External"/><Relationship Id="rId22" Type="http://schemas.openxmlformats.org/officeDocument/2006/relationships/hyperlink" Target="https://www.uplab.ru/" TargetMode="External"/><Relationship Id="rId23" Type="http://schemas.openxmlformats.org/officeDocument/2006/relationships/hyperlink" Target="https://www.webstripe.ru/" TargetMode="External"/><Relationship Id="rId24" Type="http://schemas.openxmlformats.org/officeDocument/2006/relationships/hyperlink" Target="https://cetera.ru/about/articles/creating-a-corporate-website/" TargetMode="External"/><Relationship Id="rId25" Type="http://schemas.openxmlformats.org/officeDocument/2006/relationships/hyperlink" Target="https://pixelplus.ru/prodvizhenie-sajtov/web-analitika/kpi/" TargetMode="External"/><Relationship Id="rId26" Type="http://schemas.openxmlformats.org/officeDocument/2006/relationships/hyperlink" Target="https://cmsmagazine.ru/journal/research-difficulties-faced-by-web-studio-clients/"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Application>LibreOffice/7.4.2.3$Linux_X86_64 LibreOffice_project/40$Build-3</Application>
  <AppVersion>15.0000</AppVersion>
  <Pages>29</Pages>
  <Words>3436</Words>
  <Characters>26047</Characters>
  <CharactersWithSpaces>29319</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2022-11-18T23:10:46Z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