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4AD" w:rsidRDefault="00000000">
      <w:pPr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314AD" w:rsidRDefault="00000000">
      <w:pPr>
        <w:pStyle w:val="a5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314AD" w:rsidRDefault="00000000">
      <w:pPr>
        <w:pStyle w:val="a5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D314AD" w:rsidRDefault="00000000">
      <w:pPr>
        <w:pStyle w:val="a5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D314AD" w:rsidRDefault="00D314A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000000">
      <w:pPr>
        <w:ind w:firstLine="0"/>
        <w:jc w:val="center"/>
      </w:pPr>
      <w:r>
        <w:rPr>
          <w:rStyle w:val="fontstyle01"/>
          <w:rFonts w:ascii="Times New Roman" w:hAnsi="Times New Roman"/>
        </w:rPr>
        <w:t>Отчёт по лабораторной работе №4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/>
        </w:rPr>
        <w:t>«Исследование эффективности и качества искусственного освещения»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/>
        </w:rPr>
        <w:t>по дисциплине «Безопасность жизнедеятельности»</w:t>
      </w:r>
    </w:p>
    <w:p w:rsidR="00D314AD" w:rsidRDefault="00D314A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314AD" w:rsidRDefault="00D314A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314AD" w:rsidRDefault="00000000">
      <w:pPr>
        <w:tabs>
          <w:tab w:val="left" w:pos="5664"/>
        </w:tabs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 гр. 430-1</w:t>
      </w:r>
    </w:p>
    <w:p w:rsidR="00D314AD" w:rsidRDefault="00000000">
      <w:pPr>
        <w:tabs>
          <w:tab w:val="left" w:pos="5664"/>
        </w:tabs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Горкольцева Д.Е. </w:t>
      </w:r>
    </w:p>
    <w:p w:rsidR="00D314AD" w:rsidRDefault="00000000">
      <w:pPr>
        <w:tabs>
          <w:tab w:val="left" w:pos="5664"/>
          <w:tab w:val="left" w:pos="9636"/>
        </w:tabs>
        <w:ind w:right="57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Иванин В.А. </w:t>
      </w:r>
    </w:p>
    <w:p w:rsidR="00D314AD" w:rsidRDefault="00000000">
      <w:pPr>
        <w:tabs>
          <w:tab w:val="left" w:pos="5664"/>
        </w:tabs>
        <w:ind w:right="57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Кошелев Л.Р. </w:t>
      </w:r>
    </w:p>
    <w:p w:rsidR="00D314AD" w:rsidRDefault="00000000">
      <w:pPr>
        <w:tabs>
          <w:tab w:val="left" w:pos="5664"/>
        </w:tabs>
        <w:ind w:right="57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Хабиров Р.И.</w:t>
      </w:r>
    </w:p>
    <w:p w:rsidR="00D314AD" w:rsidRDefault="00000000">
      <w:pPr>
        <w:tabs>
          <w:tab w:val="left" w:pos="5664"/>
        </w:tabs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«___»_______________ 2022 г.</w:t>
      </w:r>
    </w:p>
    <w:p w:rsidR="00D314AD" w:rsidRDefault="00D314AD">
      <w:pPr>
        <w:tabs>
          <w:tab w:val="left" w:pos="5664"/>
        </w:tabs>
        <w:ind w:firstLine="5159"/>
        <w:rPr>
          <w:rFonts w:ascii="Times New Roman" w:hAnsi="Times New Roman"/>
          <w:sz w:val="28"/>
          <w:szCs w:val="28"/>
        </w:rPr>
      </w:pPr>
    </w:p>
    <w:p w:rsidR="00D314AD" w:rsidRDefault="00000000">
      <w:pPr>
        <w:tabs>
          <w:tab w:val="left" w:pos="5664"/>
        </w:tabs>
        <w:ind w:right="57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ассистент каф. РЭТЭМ</w:t>
      </w:r>
    </w:p>
    <w:p w:rsidR="00D314AD" w:rsidRDefault="00000000">
      <w:pPr>
        <w:tabs>
          <w:tab w:val="left" w:pos="5664"/>
        </w:tabs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Нуриев Д.К. </w:t>
      </w:r>
    </w:p>
    <w:p w:rsidR="00D314AD" w:rsidRDefault="00000000">
      <w:pPr>
        <w:tabs>
          <w:tab w:val="left" w:pos="5664"/>
        </w:tabs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«___»_______________ 2022 г.</w:t>
      </w: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000000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2022</w:t>
      </w:r>
    </w:p>
    <w:p w:rsidR="00D314AD" w:rsidRDefault="00D314AD">
      <w:pPr>
        <w:sectPr w:rsidR="00D314AD">
          <w:pgSz w:w="11906" w:h="16838"/>
          <w:pgMar w:top="1134" w:right="1134" w:bottom="1134" w:left="1134" w:header="0" w:footer="0" w:gutter="0"/>
          <w:pgNumType w:start="1"/>
          <w:cols w:space="720"/>
          <w:formProt w:val="0"/>
          <w:docGrid w:linePitch="100"/>
        </w:sectPr>
      </w:pPr>
    </w:p>
    <w:sdt>
      <w:sdtPr>
        <w:id w:val="-750035451"/>
        <w:docPartObj>
          <w:docPartGallery w:val="Table of Contents"/>
          <w:docPartUnique/>
        </w:docPartObj>
      </w:sdtPr>
      <w:sdtContent>
        <w:p w:rsidR="00D314AD" w:rsidRDefault="00000000">
          <w:pPr>
            <w:pStyle w:val="af5"/>
            <w:spacing w:line="48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 w:rsidR="00D314AD" w:rsidRDefault="00000000">
          <w:pPr>
            <w:pStyle w:val="11"/>
            <w:tabs>
              <w:tab w:val="clear" w:pos="9638"/>
              <w:tab w:val="right" w:leader="dot" w:pos="9355"/>
            </w:tabs>
          </w:pPr>
          <w: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\f \o "1-9" \h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_RefHeading___Toc310_2691480195"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3</w:t>
            </w:r>
          </w:hyperlink>
        </w:p>
        <w:p w:rsidR="00D314AD" w:rsidRDefault="00000000">
          <w:pPr>
            <w:pStyle w:val="11"/>
            <w:tabs>
              <w:tab w:val="clear" w:pos="9638"/>
              <w:tab w:val="right" w:leader="dot" w:pos="9355"/>
            </w:tabs>
          </w:pPr>
          <w:hyperlink w:anchor="__RefHeading___Toc312_2691480195">
            <w:r>
              <w:rPr>
                <w:rFonts w:ascii="Times New Roman" w:hAnsi="Times New Roman"/>
                <w:sz w:val="28"/>
                <w:szCs w:val="28"/>
              </w:rPr>
              <w:t>1 ТЕОРЕТИЧЕСКАЯ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4</w:t>
            </w:r>
          </w:hyperlink>
        </w:p>
        <w:p w:rsidR="00D314AD" w:rsidRDefault="00000000">
          <w:pPr>
            <w:pStyle w:val="21"/>
          </w:pPr>
          <w:hyperlink w:anchor="__RefHeading___Toc314_2691480195">
            <w:r>
              <w:rPr>
                <w:rFonts w:ascii="Times New Roman" w:hAnsi="Times New Roman"/>
                <w:sz w:val="28"/>
                <w:szCs w:val="28"/>
              </w:rPr>
              <w:t>1.1 Общие сведения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4</w:t>
            </w:r>
          </w:hyperlink>
        </w:p>
        <w:p w:rsidR="00D314AD" w:rsidRDefault="00000000">
          <w:pPr>
            <w:pStyle w:val="21"/>
          </w:pPr>
          <w:hyperlink w:anchor="__RefHeading___Toc316_2691480195">
            <w:r>
              <w:rPr>
                <w:rFonts w:ascii="Times New Roman" w:hAnsi="Times New Roman"/>
                <w:sz w:val="28"/>
                <w:szCs w:val="28"/>
              </w:rPr>
              <w:t>1.2 Светотехнические характеристики освещения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4</w:t>
            </w:r>
          </w:hyperlink>
        </w:p>
        <w:p w:rsidR="00D314AD" w:rsidRDefault="00000000">
          <w:pPr>
            <w:pStyle w:val="21"/>
          </w:pPr>
          <w:hyperlink w:anchor="__RefHeading___Toc316_26914801951">
            <w:r>
              <w:rPr>
                <w:rFonts w:ascii="Times New Roman" w:hAnsi="Times New Roman"/>
                <w:sz w:val="28"/>
                <w:szCs w:val="28"/>
              </w:rPr>
              <w:t>1.3 Виды производственного освещения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5</w:t>
            </w:r>
          </w:hyperlink>
        </w:p>
        <w:p w:rsidR="00D314AD" w:rsidRDefault="00000000">
          <w:pPr>
            <w:pStyle w:val="21"/>
          </w:pPr>
          <w:hyperlink w:anchor="__RefHeading___Toc316_269148019511">
            <w:r>
              <w:rPr>
                <w:rFonts w:ascii="Times New Roman" w:hAnsi="Times New Roman"/>
                <w:sz w:val="28"/>
                <w:szCs w:val="28"/>
              </w:rPr>
              <w:t>1.4 Нормирование искусственного освещения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7</w:t>
            </w:r>
          </w:hyperlink>
        </w:p>
        <w:p w:rsidR="00D314AD" w:rsidRDefault="00000000">
          <w:pPr>
            <w:pStyle w:val="21"/>
          </w:pPr>
          <w:hyperlink w:anchor="__RefHeading___Toc316_2691480195111">
            <w:r>
              <w:rPr>
                <w:rFonts w:ascii="Times New Roman" w:hAnsi="Times New Roman"/>
                <w:sz w:val="28"/>
                <w:szCs w:val="28"/>
              </w:rPr>
              <w:t>1.5 Коэффициент использования осветительной установки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8</w:t>
            </w:r>
          </w:hyperlink>
        </w:p>
        <w:p w:rsidR="00D314AD" w:rsidRDefault="00000000">
          <w:pPr>
            <w:pStyle w:val="21"/>
          </w:pPr>
          <w:hyperlink w:anchor="__RefHeading___Toc316_26914801951111">
            <w:r>
              <w:rPr>
                <w:rFonts w:ascii="Times New Roman" w:hAnsi="Times New Roman"/>
                <w:sz w:val="28"/>
                <w:szCs w:val="28"/>
              </w:rPr>
              <w:t>1.6 Измерительные приборы для выполнения лабораторной работы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9</w:t>
            </w:r>
          </w:hyperlink>
        </w:p>
        <w:p w:rsidR="00D314AD" w:rsidRDefault="00000000">
          <w:pPr>
            <w:pStyle w:val="11"/>
            <w:tabs>
              <w:tab w:val="clear" w:pos="9638"/>
              <w:tab w:val="right" w:leader="dot" w:pos="9355"/>
            </w:tabs>
          </w:pPr>
          <w:hyperlink w:anchor="__RefHeading___Toc312_26914801951">
            <w:r>
              <w:rPr>
                <w:rFonts w:ascii="Times New Roman" w:hAnsi="Times New Roman"/>
                <w:sz w:val="28"/>
                <w:szCs w:val="28"/>
              </w:rPr>
              <w:t>2 ХОД РАБОТЫ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11</w:t>
            </w:r>
          </w:hyperlink>
        </w:p>
        <w:p w:rsidR="00D314AD" w:rsidRDefault="00000000">
          <w:pPr>
            <w:pStyle w:val="21"/>
          </w:pPr>
          <w:hyperlink w:anchor="__RefHeading___Toc316_269148019511111">
            <w:r>
              <w:rPr>
                <w:rFonts w:ascii="Times New Roman" w:hAnsi="Times New Roman"/>
                <w:sz w:val="28"/>
                <w:szCs w:val="28"/>
              </w:rPr>
              <w:t>2.1 Порядок проведения лабораторной работы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11</w:t>
            </w:r>
          </w:hyperlink>
        </w:p>
        <w:p w:rsidR="00D314AD" w:rsidRDefault="00000000">
          <w:pPr>
            <w:pStyle w:val="21"/>
          </w:pPr>
          <w:hyperlink w:anchor="__RefHeading___Toc1131_3191357202">
            <w:r>
              <w:rPr>
                <w:rFonts w:ascii="Times New Roman" w:hAnsi="Times New Roman"/>
                <w:sz w:val="28"/>
                <w:szCs w:val="28"/>
              </w:rPr>
              <w:t>2.2 Освещённость внутри макета производственного помещения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12</w:t>
            </w:r>
          </w:hyperlink>
        </w:p>
        <w:p w:rsidR="00D314AD" w:rsidRDefault="00000000">
          <w:pPr>
            <w:pStyle w:val="21"/>
          </w:pPr>
          <w:hyperlink w:anchor="__RefHeading___Toc1133_3191357202">
            <w:r>
              <w:rPr>
                <w:rFonts w:ascii="Times New Roman" w:hAnsi="Times New Roman"/>
                <w:sz w:val="28"/>
                <w:szCs w:val="28"/>
              </w:rPr>
              <w:t>2.3 Коэффициенты пульсации в учебной аудитории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14</w:t>
            </w:r>
          </w:hyperlink>
        </w:p>
        <w:p w:rsidR="00D314AD" w:rsidRDefault="00000000">
          <w:pPr>
            <w:pStyle w:val="11"/>
            <w:tabs>
              <w:tab w:val="clear" w:pos="9638"/>
              <w:tab w:val="right" w:leader="dot" w:pos="9355"/>
            </w:tabs>
          </w:pPr>
          <w:hyperlink w:anchor="__RefHeading___Toc324_2691480195"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16</w:t>
            </w:r>
          </w:hyperlink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D314AD" w:rsidRDefault="00000000">
      <w:r>
        <w:br w:type="page"/>
      </w:r>
    </w:p>
    <w:p w:rsidR="00D314AD" w:rsidRDefault="00000000">
      <w:pPr>
        <w:pStyle w:val="1"/>
        <w:numPr>
          <w:ilvl w:val="0"/>
          <w:numId w:val="0"/>
        </w:numPr>
        <w:spacing w:before="0" w:line="480" w:lineRule="auto"/>
        <w:rPr>
          <w:szCs w:val="28"/>
        </w:rPr>
      </w:pPr>
      <w:bookmarkStart w:id="0" w:name="__RefHeading___Toc310_2691480195"/>
      <w:bookmarkEnd w:id="0"/>
      <w:r>
        <w:rPr>
          <w:rFonts w:ascii="Times New Roman" w:hAnsi="Times New Roman" w:cs="Times New Roman"/>
          <w:szCs w:val="28"/>
        </w:rPr>
        <w:lastRenderedPageBreak/>
        <w:t>Введение</w:t>
      </w:r>
    </w:p>
    <w:p w:rsidR="00D314AD" w:rsidRDefault="00000000">
      <w:pPr>
        <w:ind w:firstLine="709"/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Цель работы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изучение количественных и качественных характеристик освещения, оценка влияния типа светильника и цветовой отделки интерьера помещения на освещённость и коэффициент использования светового потока.</w:t>
      </w:r>
    </w:p>
    <w:p w:rsidR="00D314AD" w:rsidRDefault="00000000">
      <w:pPr>
        <w:ind w:firstLine="709"/>
        <w:jc w:val="left"/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Оборудование: </w:t>
      </w:r>
      <w:r>
        <w:rPr>
          <w:rFonts w:ascii="Times New Roman" w:hAnsi="Times New Roman"/>
          <w:color w:val="000000"/>
          <w:sz w:val="28"/>
          <w:szCs w:val="28"/>
        </w:rPr>
        <w:t>лабораторная установка, состоящая из макета производственного помещения, оборудованного различными источниками искусственного освещения, и люксметра-пульсметра для измерения значений освещённости и коэффициента её пульсаций.</w:t>
      </w:r>
    </w:p>
    <w:p w:rsidR="00D314AD" w:rsidRDefault="00000000">
      <w:pPr>
        <w:ind w:firstLine="709"/>
        <w:jc w:val="left"/>
        <w:rPr>
          <w:i/>
          <w:iCs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План работы:</w:t>
      </w:r>
    </w:p>
    <w:p w:rsidR="00D314AD" w:rsidRDefault="00000000">
      <w:pPr>
        <w:numPr>
          <w:ilvl w:val="0"/>
          <w:numId w:val="3"/>
        </w:numPr>
        <w:ind w:firstLine="1134"/>
        <w:jc w:val="left"/>
      </w:pPr>
      <w:r>
        <w:rPr>
          <w:rFonts w:ascii="Times New Roman" w:hAnsi="Times New Roman"/>
          <w:sz w:val="28"/>
          <w:szCs w:val="28"/>
        </w:rPr>
        <w:t>изучение теоретической части;</w:t>
      </w:r>
    </w:p>
    <w:p w:rsidR="00D314AD" w:rsidRDefault="00000000">
      <w:pPr>
        <w:numPr>
          <w:ilvl w:val="0"/>
          <w:numId w:val="3"/>
        </w:numPr>
        <w:ind w:firstLine="1134"/>
        <w:jc w:val="left"/>
      </w:pPr>
      <w:r>
        <w:rPr>
          <w:rFonts w:ascii="Times New Roman" w:hAnsi="Times New Roman"/>
          <w:sz w:val="28"/>
          <w:szCs w:val="28"/>
        </w:rPr>
        <w:t>ознакомление с правилами эксплуатации прибора;</w:t>
      </w:r>
    </w:p>
    <w:p w:rsidR="00D314AD" w:rsidRDefault="00000000">
      <w:pPr>
        <w:numPr>
          <w:ilvl w:val="0"/>
          <w:numId w:val="3"/>
        </w:numPr>
        <w:ind w:firstLine="1134"/>
        <w:jc w:val="left"/>
      </w:pPr>
      <w:r>
        <w:rPr>
          <w:rFonts w:ascii="Times New Roman" w:hAnsi="Times New Roman"/>
          <w:sz w:val="28"/>
          <w:szCs w:val="28"/>
        </w:rPr>
        <w:t>выполнение экспериментальной части;</w:t>
      </w:r>
    </w:p>
    <w:p w:rsidR="00D314AD" w:rsidRDefault="00000000">
      <w:pPr>
        <w:numPr>
          <w:ilvl w:val="0"/>
          <w:numId w:val="3"/>
        </w:numPr>
        <w:ind w:firstLine="1134"/>
        <w:jc w:val="left"/>
      </w:pPr>
      <w:r>
        <w:rPr>
          <w:rFonts w:ascii="Times New Roman" w:hAnsi="Times New Roman"/>
          <w:sz w:val="28"/>
          <w:szCs w:val="28"/>
        </w:rPr>
        <w:t>оформление полученных результатов.</w:t>
      </w:r>
    </w:p>
    <w:p w:rsidR="00D314AD" w:rsidRDefault="00000000">
      <w:pPr>
        <w:ind w:firstLine="709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:rsidR="00D314AD" w:rsidRDefault="00000000">
      <w:pPr>
        <w:pStyle w:val="1"/>
        <w:spacing w:before="0" w:line="480" w:lineRule="auto"/>
        <w:rPr>
          <w:szCs w:val="28"/>
        </w:rPr>
      </w:pPr>
      <w:bookmarkStart w:id="1" w:name="__RefHeading___Toc312_2691480195"/>
      <w:bookmarkEnd w:id="1"/>
      <w:r>
        <w:rPr>
          <w:rFonts w:ascii="Times New Roman" w:hAnsi="Times New Roman" w:cs="Times New Roman"/>
          <w:szCs w:val="28"/>
        </w:rPr>
        <w:lastRenderedPageBreak/>
        <w:t>ТЕОРЕТИЧЕСКАЯ ЧАСТЬ</w:t>
      </w:r>
    </w:p>
    <w:p w:rsidR="00D314AD" w:rsidRDefault="00000000">
      <w:pPr>
        <w:pStyle w:val="2"/>
        <w:spacing w:line="480" w:lineRule="auto"/>
        <w:jc w:val="center"/>
        <w:rPr>
          <w:rFonts w:ascii="Times New Roman" w:hAnsi="Times New Roman"/>
          <w:sz w:val="28"/>
          <w:szCs w:val="28"/>
        </w:rPr>
      </w:pPr>
      <w:bookmarkStart w:id="2" w:name="__RefHeading___Toc314_2691480195"/>
      <w:bookmarkEnd w:id="2"/>
      <w:r>
        <w:rPr>
          <w:rFonts w:ascii="Times New Roman" w:hAnsi="Times New Roman"/>
          <w:sz w:val="28"/>
          <w:szCs w:val="28"/>
        </w:rPr>
        <w:t>Общие сведения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Качество информации, получаемой человеком через зрительный аппарат, во многом зависит от освещения. Неудовлетворительное в количественном или качественном отношении освещение напрягает зрение и вызывает утомление организма в целом. Нерационально организованное освещение может явиться причиной травматизма: плохо освещённые опасные зоны, слепящие источники света и блики от них, резкие тени и пульсации освещения ухудшают видимость и могут вызвать неадекватное восприятие наблюдаемого объекта. </w:t>
      </w:r>
    </w:p>
    <w:p w:rsidR="00D314AD" w:rsidRDefault="00D314AD">
      <w:pPr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314AD" w:rsidRDefault="00000000">
      <w:pPr>
        <w:pStyle w:val="2"/>
        <w:spacing w:line="480" w:lineRule="auto"/>
        <w:jc w:val="center"/>
        <w:rPr>
          <w:rFonts w:ascii="Times New Roman" w:hAnsi="Times New Roman"/>
          <w:sz w:val="28"/>
          <w:szCs w:val="28"/>
        </w:rPr>
      </w:pPr>
      <w:bookmarkStart w:id="3" w:name="__RefHeading___Toc316_2691480195"/>
      <w:bookmarkEnd w:id="3"/>
      <w:r>
        <w:rPr>
          <w:rFonts w:ascii="Times New Roman" w:hAnsi="Times New Roman"/>
          <w:sz w:val="28"/>
          <w:szCs w:val="28"/>
        </w:rPr>
        <w:t>Светотехнические характеристики освещения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оптических измерениях для гигиенической оценки освещения необходимо учитывать неодинаковую чувствительность глаза к энергии различных длин волн (видимое излучение — человеческий глаз воспринимает колебания в диапазоне от 380 до 770 нм).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t xml:space="preserve">Основной световой единицей в системе СИ является кандела (кд) — </w:t>
      </w:r>
      <w:r>
        <w:rPr>
          <w:rFonts w:ascii="Times New Roman" w:hAnsi="Times New Roman"/>
          <w:b/>
          <w:bCs/>
          <w:sz w:val="28"/>
          <w:szCs w:val="28"/>
        </w:rPr>
        <w:t>сила света</w:t>
      </w:r>
      <w:r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</w:rPr>
          <m:t>I</m:t>
        </m:r>
      </m:oMath>
      <w:r>
        <w:rPr>
          <w:rFonts w:ascii="Times New Roman" w:hAnsi="Times New Roman"/>
          <w:sz w:val="28"/>
          <w:szCs w:val="28"/>
        </w:rPr>
        <w:t>) в заданном направлении источника, испускающего монохроматическое излучение частотой 540</w:t>
      </w:r>
      <w:r>
        <w:rPr>
          <w:rFonts w:ascii="Liberation Serif" w:eastAsia="Liberation Serif" w:hAnsi="Liberation Serif" w:cs="Liberation Serif"/>
          <w:sz w:val="28"/>
          <w:szCs w:val="28"/>
        </w:rPr>
        <w:t>∙</w:t>
      </w:r>
      <w:r>
        <w:rPr>
          <w:rFonts w:ascii="Times New Roman" w:eastAsia="Liberation Serif" w:hAnsi="Times New Roman" w:cs="Liberation Serif"/>
          <w:sz w:val="28"/>
          <w:szCs w:val="28"/>
        </w:rPr>
        <w:t>10</w:t>
      </w:r>
      <w:r>
        <w:rPr>
          <w:rFonts w:ascii="Times New Roman" w:eastAsia="Liberation Serif" w:hAnsi="Times New Roman" w:cs="Liberation Serif"/>
          <w:sz w:val="28"/>
          <w:szCs w:val="28"/>
          <w:vertAlign w:val="superscript"/>
        </w:rPr>
        <w:t>12</w:t>
      </w:r>
      <w:r>
        <w:rPr>
          <w:rFonts w:ascii="Times New Roman" w:eastAsia="Liberation Serif" w:hAnsi="Times New Roman" w:cs="Liberation Serif"/>
          <w:sz w:val="28"/>
          <w:szCs w:val="28"/>
        </w:rPr>
        <w:t xml:space="preserve"> Гц, энергетическая сила света которого в этом направлении составляет 1/683 Вт/ср.</w:t>
      </w:r>
    </w:p>
    <w:p w:rsidR="00D314AD" w:rsidRDefault="00000000">
      <w:pPr>
        <w:ind w:firstLine="709"/>
      </w:pPr>
      <w:r>
        <w:rPr>
          <w:rFonts w:ascii="Times New Roman" w:hAnsi="Times New Roman"/>
          <w:b/>
          <w:bCs/>
          <w:sz w:val="28"/>
          <w:szCs w:val="28"/>
        </w:rPr>
        <w:t>Световой поток</w:t>
      </w:r>
      <w:r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</w:rPr>
          <m:t>F</m:t>
        </m:r>
      </m:oMath>
      <w:r>
        <w:rPr>
          <w:rFonts w:ascii="Times New Roman" w:hAnsi="Times New Roman"/>
          <w:sz w:val="28"/>
          <w:szCs w:val="28"/>
        </w:rPr>
        <w:t xml:space="preserve">) — мощность оптического излучения, оцениваемая по производимому его зрительному ощущению. За единицу светового потока принят люмен (лм) — световой поток, испускаемый точечным источником силой света </w:t>
      </w:r>
      <m:oMath>
        <m:r>
          <w:rPr>
            <w:rFonts w:ascii="Cambria Math" w:hAnsi="Cambria Math"/>
          </w:rPr>
          <m:t>I=1</m:t>
        </m:r>
      </m:oMath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кд внутри телесного угла в 1 ср (1 лм = 1 кр).</w:t>
      </w:r>
    </w:p>
    <w:p w:rsidR="00D314AD" w:rsidRDefault="00000000">
      <w:pPr>
        <w:ind w:firstLine="709"/>
      </w:pPr>
      <w:r>
        <w:rPr>
          <w:rFonts w:ascii="Times New Roman" w:hAnsi="Times New Roman"/>
          <w:b/>
          <w:bCs/>
          <w:sz w:val="28"/>
          <w:szCs w:val="28"/>
        </w:rPr>
        <w:t>Освещённость</w:t>
      </w:r>
      <w:r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</w:rPr>
          <m:t>E</m:t>
        </m:r>
      </m:oMath>
      <w:r>
        <w:rPr>
          <w:rFonts w:ascii="Times New Roman" w:hAnsi="Times New Roman"/>
          <w:sz w:val="28"/>
          <w:szCs w:val="28"/>
        </w:rPr>
        <w:t xml:space="preserve">) — величина, равная отношению светового потока  </w:t>
      </w:r>
      <m:oMath>
        <m:r>
          <w:rPr>
            <w:rFonts w:ascii="Cambria Math" w:hAnsi="Cambria Math"/>
          </w:rPr>
          <m:t>F</m:t>
        </m:r>
      </m:oMath>
      <w:r>
        <w:rPr>
          <w:rFonts w:ascii="Times New Roman" w:hAnsi="Times New Roman"/>
          <w:sz w:val="28"/>
          <w:szCs w:val="28"/>
        </w:rPr>
        <w:t xml:space="preserve">, падающего на поверхность к площади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  <w:sz w:val="28"/>
          <w:szCs w:val="28"/>
        </w:rPr>
        <w:t xml:space="preserve"> этой поверхности:</w:t>
      </w:r>
    </w:p>
    <w:tbl>
      <w:tblPr>
        <w:tblW w:w="935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268"/>
        <w:gridCol w:w="1086"/>
      </w:tblGrid>
      <w:tr w:rsidR="00D314AD">
        <w:trPr>
          <w:tblHeader/>
        </w:trPr>
        <w:tc>
          <w:tcPr>
            <w:tcW w:w="8267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86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(1.1)</w:t>
            </w:r>
          </w:p>
        </w:tc>
      </w:tr>
    </w:tbl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Единица измерения освещённости — люкс (лк) (1 лк = 1 лм/м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Яркость</w:t>
      </w:r>
      <w:r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  <w:sz w:val="28"/>
          <w:szCs w:val="28"/>
        </w:rPr>
        <w:t xml:space="preserve">) — поверхностная плотность силы света </w:t>
      </w:r>
      <m:oMath>
        <m:r>
          <w:rPr>
            <w:rFonts w:ascii="Cambria Math" w:hAnsi="Cambria Math"/>
          </w:rPr>
          <m:t>I</m:t>
        </m:r>
      </m:oMath>
      <w:r>
        <w:rPr>
          <w:rFonts w:ascii="Times New Roman" w:hAnsi="Times New Roman"/>
          <w:sz w:val="28"/>
          <w:szCs w:val="28"/>
        </w:rPr>
        <w:t xml:space="preserve"> в заданном направлении. Яркость является характеристикой светящихся тел, она равна отношению силы света </w:t>
      </w:r>
      <m:oMath>
        <m:r>
          <w:rPr>
            <w:rFonts w:ascii="Cambria Math" w:hAnsi="Cambria Math"/>
          </w:rPr>
          <m:t>I</m:t>
        </m:r>
      </m:oMath>
      <w:r>
        <w:rPr>
          <w:rFonts w:ascii="Times New Roman" w:hAnsi="Times New Roman"/>
          <w:sz w:val="28"/>
          <w:szCs w:val="28"/>
        </w:rPr>
        <w:t xml:space="preserve"> в каком-либо направлении к площади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  <w:sz w:val="28"/>
          <w:szCs w:val="28"/>
        </w:rPr>
        <w:t xml:space="preserve"> проекции светящейся поверхности на плоскость, перпендикулярную к этому направлению.</w:t>
      </w:r>
    </w:p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314"/>
        <w:gridCol w:w="1041"/>
      </w:tblGrid>
      <w:tr w:rsidR="00D314AD">
        <w:trPr>
          <w:tblHeader/>
        </w:trPr>
        <w:tc>
          <w:tcPr>
            <w:tcW w:w="8313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⋅cosα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:rsidR="00D314AD" w:rsidRDefault="00000000">
            <w:pPr>
              <w:pStyle w:val="af6"/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(1.2)</w:t>
            </w:r>
          </w:p>
        </w:tc>
      </w:tr>
    </w:tbl>
    <w:p w:rsidR="00D314A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/>
          <w:sz w:val="28"/>
          <w:szCs w:val="28"/>
        </w:rPr>
        <w:t xml:space="preserve"> — угол между направлением излучения и плоскостью, град.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Единицей измерения яркости является кд/м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, это яркость такой плоскости поверхности, которая в перпендикулярном направлении излучает силу света в 1 кд с площади 1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000000">
      <w:pPr>
        <w:pStyle w:val="2"/>
        <w:spacing w:before="0" w:line="48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4" w:name="__RefHeading___Toc316_26914801951"/>
      <w:bookmarkEnd w:id="4"/>
      <w:r>
        <w:rPr>
          <w:rFonts w:ascii="Times New Roman" w:hAnsi="Times New Roman"/>
          <w:sz w:val="28"/>
          <w:szCs w:val="28"/>
        </w:rPr>
        <w:t>Виды производственного освещения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изучаемая дисциплина предполагает защиту человека в техносфере от негативных воздействий, мы рассмотрим виды производственного освещения. На рисунке 1.1 изображена схема видов производственного освещения.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зависимости от источника света освещение может быть трёх видов: естественное, искусственное и совмещённое (смешанное).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t>Естественное освещение, в свою очередь, по расположению боковых проёмов разделяют на верхнее (здание освещается через проёмы, имеющиеся на участках перепада высоты строения), боковое (свет проникает через проёмы в наружных стенах) и комбинированное, где боковое может быть односторонним или двухсторонним.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t xml:space="preserve">Искусственное освещение предусматривается в помещениях с недостатком естественного света, в также для освещения помещений в тёмное время суток. По принципу организации этот вид освещения делят на общее, местное и комбинированное. Общее освещение, в свою очередь, делится на равномерное (размещение по всей площади пространства) и локализованное </w:t>
      </w:r>
      <w:r>
        <w:rPr>
          <w:rFonts w:ascii="Times New Roman" w:hAnsi="Times New Roman"/>
          <w:sz w:val="28"/>
          <w:szCs w:val="28"/>
        </w:rPr>
        <w:lastRenderedPageBreak/>
        <w:t>(размещение в соответствии с расположением оборудования) и предназначено для освещения всего помещения.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t>Комбинированное искусственное освещение состоит из общего и местного. Местное освещение предназначено для освещения только рабочих поверхностей. Оно может быть стационарным и переносным.</w:t>
      </w:r>
    </w:p>
    <w:p w:rsidR="00D314AD" w:rsidRDefault="00000000">
      <w:pPr>
        <w:ind w:firstLine="0"/>
      </w:pPr>
      <w:r>
        <w:rPr>
          <w:rFonts w:ascii="Times New Roman" w:hAnsi="Times New Roman"/>
          <w:sz w:val="28"/>
          <w:szCs w:val="28"/>
        </w:rPr>
        <w:t>По функциональному назначению искусственное освещение подразделяют на рабочее (обеспечивает нормируемые осветительные условия), аварийное (служит для продолжения работы при аварийном отключении рабочего освещения), дежурное, охранное (предусматривается вдоль границ территории, охраняемой в ночное время) и эвакуационное.</w:t>
      </w:r>
    </w:p>
    <w:p w:rsidR="00D314AD" w:rsidRDefault="00000000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5940425" cy="343979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1.1 — Виды производственного освещения</w:t>
      </w:r>
    </w:p>
    <w:p w:rsidR="00D314AD" w:rsidRDefault="00D314A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источников искусственного освещения применяются лампы накаливания и газоразрядные лампы.</w:t>
      </w:r>
    </w:p>
    <w:p w:rsidR="00D314AD" w:rsidRDefault="00D314AD">
      <w:pPr>
        <w:ind w:firstLine="0"/>
        <w:rPr>
          <w:rFonts w:ascii="Times New Roman" w:hAnsi="Times New Roman"/>
          <w:sz w:val="28"/>
          <w:szCs w:val="28"/>
        </w:rPr>
      </w:pPr>
    </w:p>
    <w:p w:rsidR="00D314AD" w:rsidRDefault="00000000">
      <w:pPr>
        <w:pStyle w:val="2"/>
        <w:spacing w:before="0" w:line="48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5" w:name="__RefHeading___Toc316_269148019511"/>
      <w:bookmarkEnd w:id="5"/>
      <w:r>
        <w:rPr>
          <w:rFonts w:ascii="Times New Roman" w:hAnsi="Times New Roman"/>
          <w:sz w:val="28"/>
          <w:szCs w:val="28"/>
        </w:rPr>
        <w:lastRenderedPageBreak/>
        <w:t>Нормирование искусственного освещения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Известны два подхода к нормированию освещённости рабочих поверхностей. «Гигиенические требования к естественному, искусственному и совмещённому освещению жилых и общественных зданий. СанПиН 2.2.1/2.1.1.1278-03» определяет наименьшую освещённость рабочих поверхностей в производственных помещениях в зависимости от вида производимой деятельности, а СНиП 23-05-95 «Естественное и искусственное освещение» — в зависимости от характеристики зрительной работы, определяемой минимальным размером объекта различения, контрастом объекта с фоном и свойствами фона. В этом документе используются следующие основные понятия: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Объект различения</w:t>
      </w:r>
      <w:r>
        <w:rPr>
          <w:rFonts w:ascii="Times New Roman" w:hAnsi="Times New Roman"/>
          <w:sz w:val="28"/>
          <w:szCs w:val="28"/>
        </w:rPr>
        <w:t xml:space="preserve"> — рассматриваемый предмет, отдельная его часть или дефект, которые следует контролировать в процессе работы.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Фон</w:t>
      </w:r>
      <w:r>
        <w:rPr>
          <w:rFonts w:ascii="Times New Roman" w:hAnsi="Times New Roman"/>
          <w:sz w:val="28"/>
          <w:szCs w:val="28"/>
        </w:rPr>
        <w:t xml:space="preserve"> — поверхность, прилегающая непосредственно к объекту различения, на которой он рассматривается. Фон считается светлым при коэффициенте отражения </w:t>
      </w:r>
      <m:oMath>
        <m:r>
          <w:rPr>
            <w:rFonts w:ascii="Cambria Math" w:hAnsi="Cambria Math"/>
          </w:rPr>
          <m:t>ρ</m:t>
        </m:r>
      </m:oMath>
      <w:r>
        <w:rPr>
          <w:rFonts w:ascii="Times New Roman" w:hAnsi="Times New Roman"/>
          <w:sz w:val="28"/>
          <w:szCs w:val="28"/>
        </w:rPr>
        <w:t xml:space="preserve"> светового потока поверхностью более 0,4; средне светлым при коэффициенте отражения от 0,2 до 0,4; тёмным при коэффициенте отражения менее 0,2.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Контраст</w:t>
      </w:r>
      <w:r>
        <w:rPr>
          <w:rFonts w:ascii="Times New Roman" w:hAnsi="Times New Roman"/>
          <w:sz w:val="28"/>
          <w:szCs w:val="28"/>
        </w:rPr>
        <w:t xml:space="preserve"> объекта различения с фоном (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/>
          <w:sz w:val="28"/>
          <w:szCs w:val="28"/>
        </w:rPr>
        <w:t xml:space="preserve">) определяется отношением абсолютной величины разности яркостей объекта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фона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 наибольшей из этих двух яркостей.</w:t>
      </w:r>
    </w:p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326"/>
        <w:gridCol w:w="1029"/>
      </w:tblGrid>
      <w:tr w:rsidR="00D314AD">
        <w:trPr>
          <w:tblHeader/>
        </w:trPr>
        <w:tc>
          <w:tcPr>
            <w:tcW w:w="8325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29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(1.3)</w:t>
            </w:r>
          </w:p>
        </w:tc>
      </w:tr>
    </w:tbl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Контраст считается большим при значениях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/>
          <w:sz w:val="28"/>
          <w:szCs w:val="28"/>
        </w:rPr>
        <w:t xml:space="preserve"> более 0,5; средним — при значениях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/>
          <w:sz w:val="28"/>
          <w:szCs w:val="28"/>
        </w:rPr>
        <w:t xml:space="preserve"> от 0,2 до 0,5; малым — при значениях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/>
          <w:sz w:val="28"/>
          <w:szCs w:val="28"/>
        </w:rPr>
        <w:t xml:space="preserve"> менее 0,2.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соответствие со СНиП 23-95-95 все виды работ в зависимости от размера объекта различения делятся на восемь разрядов (I-VIII), которые, в свою очередь, в зависимости от фона и контраста объекта с фоном делятся на четыре подразряда (а, б, в ,г).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lastRenderedPageBreak/>
        <w:t xml:space="preserve">Ещё одним важным параметром, характеризующим качество освещения, является коэффициент пульсации освещённости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ascii="Times New Roman" w:hAnsi="Times New Roman"/>
          <w:sz w:val="28"/>
          <w:szCs w:val="28"/>
        </w:rPr>
        <w:t>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4"/>
        <w:gridCol w:w="1041"/>
      </w:tblGrid>
      <w:tr w:rsidR="00D314AD">
        <w:trPr>
          <w:tblHeader/>
        </w:trPr>
        <w:tc>
          <w:tcPr>
            <w:tcW w:w="8313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⋅100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(1.4)</w:t>
            </w:r>
          </w:p>
        </w:tc>
      </w:tr>
    </w:tbl>
    <w:p w:rsidR="00D314A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максимальное значение пульсирующей освещённости на рабочей поверхности;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минимальное значение пульсирующей освещённости;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среднее значение освещённости.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Пульсации освещённости возникают из-за питания источников света переменным напряжением. Пульсации освещённости на рабочей поверхности не только утомляют зрение, но и могут вызвать неадекватное восприятие наблюдаемого объекта за счёт появления стробоскопического эффекта.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Стробоскопический эффект</w:t>
      </w:r>
      <w:r>
        <w:rPr>
          <w:rFonts w:ascii="Times New Roman" w:hAnsi="Times New Roman"/>
          <w:sz w:val="28"/>
          <w:szCs w:val="28"/>
        </w:rPr>
        <w:t xml:space="preserve"> — кажущееся изменение или прекращение движения объект, освещаемого светом, периодически изменяющимся с определённой частотой.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СНиП 23-05-95 коэффициент пульсации освещённости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нормируется в зависимости от разряда зрительных работ.</w:t>
      </w:r>
    </w:p>
    <w:p w:rsidR="00D314AD" w:rsidRDefault="00D314AD">
      <w:pPr>
        <w:ind w:firstLine="709"/>
        <w:rPr>
          <w:rFonts w:ascii="Times New Roman" w:hAnsi="Times New Roman"/>
          <w:sz w:val="28"/>
          <w:szCs w:val="28"/>
        </w:rPr>
      </w:pPr>
    </w:p>
    <w:p w:rsidR="00D314AD" w:rsidRDefault="00000000">
      <w:pPr>
        <w:pStyle w:val="2"/>
        <w:spacing w:before="0" w:line="48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6" w:name="__RefHeading___Toc316_2691480195111"/>
      <w:bookmarkEnd w:id="6"/>
      <w:r>
        <w:rPr>
          <w:rFonts w:ascii="Times New Roman" w:hAnsi="Times New Roman"/>
          <w:sz w:val="28"/>
          <w:szCs w:val="28"/>
        </w:rPr>
        <w:t>Коэффициент использования осветительной установки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Расчёт искусственного освещения предусматривает: выбор типа источника света, системы освещения и светильника, проведение светотехнических расчётов распределение светильников и определение потребляемой системой освещения мощности. Величина, характеризующая эффективность использования источников света, называется </w:t>
      </w:r>
      <w:r>
        <w:rPr>
          <w:rFonts w:ascii="Times New Roman" w:hAnsi="Times New Roman"/>
          <w:b/>
          <w:bCs/>
          <w:sz w:val="28"/>
          <w:szCs w:val="28"/>
        </w:rPr>
        <w:t>коэффициентом использования светового потока</w:t>
      </w:r>
      <w:r>
        <w:rPr>
          <w:rFonts w:ascii="Times New Roman" w:hAnsi="Times New Roman"/>
          <w:sz w:val="28"/>
          <w:szCs w:val="28"/>
        </w:rPr>
        <w:t xml:space="preserve"> или коэффициентом использования осветительной установки (</w:t>
      </w:r>
      <m:oMath>
        <m:r>
          <w:rPr>
            <w:rFonts w:ascii="Cambria Math" w:hAnsi="Cambria Math"/>
          </w:rPr>
          <m:t>η</m:t>
        </m:r>
      </m:oMath>
      <w:r>
        <w:rPr>
          <w:rFonts w:ascii="Times New Roman" w:hAnsi="Times New Roman"/>
          <w:sz w:val="28"/>
          <w:szCs w:val="28"/>
        </w:rPr>
        <w:t>) и определяется как отношение фактического светового потока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>) к суммарному световому потоку</w:t>
      </w:r>
      <w:r>
        <w:rPr>
          <w:rFonts w:ascii="Times New Roman" w:hAnsi="Times New Roman"/>
          <w:sz w:val="28"/>
          <w:szCs w:val="28"/>
        </w:rPr>
        <w:br/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ламп</m:t>
            </m:r>
          </m:sub>
        </m:sSub>
      </m:oMath>
      <w:r>
        <w:rPr>
          <w:rFonts w:ascii="Times New Roman" w:hAnsi="Times New Roman"/>
          <w:sz w:val="28"/>
          <w:szCs w:val="28"/>
        </w:rPr>
        <w:t>) используемых источников света, определённому по их номинальной мощности в соответствии с нормативной документацией: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4"/>
        <w:gridCol w:w="1041"/>
      </w:tblGrid>
      <w:tr w:rsidR="00D314AD">
        <w:trPr>
          <w:tblHeader/>
        </w:trPr>
        <w:tc>
          <w:tcPr>
            <w:tcW w:w="8313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w:lastRenderedPageBreak/>
                <m:t>η=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факт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ламп</m:t>
                      </m:r>
                    </m:sub>
                  </m:sSub>
                </m:den>
              </m:f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(1.5)</w:t>
            </w:r>
          </w:p>
        </w:tc>
      </w:tr>
    </w:tbl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фактического светового потока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можно определить по результатам измерений в помещении средней освещённости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4"/>
        <w:gridCol w:w="1041"/>
      </w:tblGrid>
      <w:tr w:rsidR="00D314AD">
        <w:trPr>
          <w:tblHeader/>
        </w:trPr>
        <w:tc>
          <w:tcPr>
            <w:tcW w:w="8313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⋅S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(1.6)</w:t>
            </w:r>
          </w:p>
        </w:tc>
      </w:tr>
    </w:tbl>
    <w:p w:rsidR="00D314A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  <w:sz w:val="28"/>
          <w:szCs w:val="28"/>
        </w:rPr>
        <w:t xml:space="preserve"> — площадь помещения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проектировании освещения для оценки светового потока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>, используется формула: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4"/>
        <w:gridCol w:w="1041"/>
      </w:tblGrid>
      <w:tr w:rsidR="00D314AD">
        <w:trPr>
          <w:tblHeader/>
        </w:trPr>
        <w:tc>
          <w:tcPr>
            <w:tcW w:w="8313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  <m:r>
                <w:rPr>
                  <w:rFonts w:ascii="Cambria Math" w:hAnsi="Cambria Math"/>
                </w:rPr>
                <m:t>=E⋅S⋅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⋅Z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(1.7)</w:t>
            </w:r>
          </w:p>
        </w:tc>
      </w:tr>
    </w:tbl>
    <w:p w:rsidR="00D314A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E</m:t>
        </m:r>
      </m:oMath>
      <w:r>
        <w:rPr>
          <w:rFonts w:ascii="Times New Roman" w:hAnsi="Times New Roman"/>
          <w:sz w:val="28"/>
          <w:szCs w:val="28"/>
        </w:rPr>
        <w:t xml:space="preserve"> — нормируемая освещённость, лм;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коэффициент запаса, учитывающий старение ламп, запыление и загрязнение светильников (обычно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1,3 для ламп накаливания и 1,5 для люминесцентных ламп); </w:t>
      </w:r>
      <m:oMath>
        <m:r>
          <w:rPr>
            <w:rFonts w:ascii="Cambria Math" w:hAnsi="Cambria Math"/>
          </w:rPr>
          <m:t>Z</m:t>
        </m:r>
      </m:oMath>
      <w:r>
        <w:rPr>
          <w:rFonts w:ascii="Times New Roman" w:hAnsi="Times New Roman"/>
          <w:sz w:val="28"/>
          <w:szCs w:val="28"/>
        </w:rPr>
        <w:t xml:space="preserve"> — коэффициент неравномерности освещения (обычно </w:t>
      </w:r>
      <m:oMath>
        <m:r>
          <w:rPr>
            <w:rFonts w:ascii="Cambria Math" w:hAnsi="Cambria Math"/>
          </w:rPr>
          <m:t>Z</m:t>
        </m:r>
      </m:oMath>
      <w:r>
        <w:rPr>
          <w:rFonts w:ascii="Times New Roman" w:hAnsi="Times New Roman"/>
          <w:sz w:val="28"/>
          <w:szCs w:val="28"/>
        </w:rPr>
        <w:t xml:space="preserve"> = 1,1 — 1,2).</w:t>
      </w:r>
    </w:p>
    <w:p w:rsidR="00D314AD" w:rsidRDefault="00D314AD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:rsidR="00D314AD" w:rsidRDefault="00000000">
      <w:pPr>
        <w:pStyle w:val="2"/>
        <w:spacing w:before="0" w:line="48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7" w:name="__RefHeading___Toc316_26914801951111"/>
      <w:bookmarkEnd w:id="7"/>
      <w:r>
        <w:rPr>
          <w:rFonts w:ascii="Times New Roman" w:hAnsi="Times New Roman"/>
          <w:sz w:val="28"/>
          <w:szCs w:val="28"/>
        </w:rPr>
        <w:t>Измерительные приборы для выполнения лабораторной работы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средств измерения в лабораторной работе могут быть использованы различные приборы (люксметры, пульсметры, яркометры и др.).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Люксметр-пульсметр Аргус 07.</w:t>
      </w:r>
      <w:r>
        <w:rPr>
          <w:rFonts w:ascii="Times New Roman" w:hAnsi="Times New Roman"/>
          <w:sz w:val="28"/>
          <w:szCs w:val="28"/>
        </w:rPr>
        <w:t xml:space="preserve"> Предназначен для измерения освещённости, создаваемой естественным светом и различными источниками искусственного освещения, и коэффициента пульсаций излучения искусственного освещения. При этом источники освещения могут быть расположены произвольно относительно люксметра. Показание коэффициента пульсаций индицируется в процентах, при этом прибор определяет максимальное, минимальное и среднее значение освещённости пульсирующего излучения и рассчитывает значение коэффициента пульсаций. Отсчёт освещённости и коэффициента пульсации ведётся одновременно по индикаторной шкале.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Люксметр/яркометр ТКА-09.</w:t>
      </w:r>
      <w:r>
        <w:rPr>
          <w:rFonts w:ascii="Times New Roman" w:hAnsi="Times New Roman"/>
          <w:sz w:val="28"/>
          <w:szCs w:val="28"/>
        </w:rPr>
        <w:t xml:space="preserve"> Цифровой фотометр предназначен для измерения освещённости (лк) и яркости протяжённых самосветящихся объектов (кд/м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 в видимой области спектра.</w:t>
      </w:r>
      <w:r>
        <w:br w:type="page"/>
      </w:r>
    </w:p>
    <w:p w:rsidR="00D314AD" w:rsidRDefault="00000000">
      <w:pPr>
        <w:pStyle w:val="1"/>
        <w:spacing w:before="0" w:line="480" w:lineRule="auto"/>
        <w:ind w:left="0" w:firstLine="0"/>
        <w:rPr>
          <w:rFonts w:ascii="Times New Roman" w:hAnsi="Times New Roman" w:cs="Times New Roman"/>
          <w:szCs w:val="28"/>
        </w:rPr>
      </w:pPr>
      <w:bookmarkStart w:id="8" w:name="__RefHeading___Toc312_26914801951"/>
      <w:bookmarkEnd w:id="8"/>
      <w:r>
        <w:rPr>
          <w:rFonts w:ascii="Times New Roman" w:hAnsi="Times New Roman" w:cs="Times New Roman"/>
          <w:szCs w:val="28"/>
        </w:rPr>
        <w:lastRenderedPageBreak/>
        <w:t>ХОД РАБОТЫ</w:t>
      </w:r>
    </w:p>
    <w:p w:rsidR="00D314AD" w:rsidRDefault="00000000">
      <w:pPr>
        <w:pStyle w:val="2"/>
        <w:spacing w:before="0" w:line="48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9" w:name="__RefHeading___Toc316_269148019511111"/>
      <w:bookmarkEnd w:id="9"/>
      <w:r>
        <w:rPr>
          <w:rFonts w:ascii="Times New Roman" w:hAnsi="Times New Roman"/>
          <w:sz w:val="28"/>
          <w:szCs w:val="28"/>
        </w:rPr>
        <w:t>Порядок проведения лабораторной работы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Установить стенки макета производственного помещения таким образом, чтобы стороны, окрашенные в тёмные тона, были обращены внутрь помещения.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Включить установку.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Включить лампы.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 xml:space="preserve">Произвести измерения освещённости с помощью люксметра-пульсметра не менее, чем в пяти точках макета производственного помещения, определить среднее значение освещённости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Установить стенки макета производственного помещения таким образом, чтобы стороны, окрашенные в светлые тона,были обращены внутрь помещения.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Произвести измерение освещённости не менее, чем в пяти точках макета производственного помещения, определить среднее значение освещённости.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Сравнить полученные в результате измерений по п.п. 4 и 6 значения освещённости с допустимыми значениями освещённости.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 xml:space="preserve">По результатам измерений освещённости для варианта с тёмной и светлой окраской стен вычислить значение фактического светового потока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 (2.1):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5"/>
        <w:gridCol w:w="1040"/>
      </w:tblGrid>
      <w:tr w:rsidR="00D314AD">
        <w:trPr>
          <w:tblHeader/>
        </w:trPr>
        <w:tc>
          <w:tcPr>
            <w:tcW w:w="8314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⋅S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0" w:type="dxa"/>
            <w:vAlign w:val="center"/>
          </w:tcPr>
          <w:p w:rsidR="00D314AD" w:rsidRDefault="00000000">
            <w:pPr>
              <w:pStyle w:val="af6"/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(2.1)</w:t>
            </w:r>
          </w:p>
        </w:tc>
      </w:tr>
    </w:tbl>
    <w:p w:rsidR="00D314AD" w:rsidRDefault="00000000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среднее значение освещённости;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  <w:sz w:val="28"/>
          <w:szCs w:val="28"/>
        </w:rPr>
        <w:t xml:space="preserve"> — площадь макета помещения,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 xml:space="preserve">Вычислить коэффициент использования осветительной установки </w:t>
      </w:r>
      <m:oMath>
        <m:r>
          <w:rPr>
            <w:rFonts w:ascii="Cambria Math" w:hAnsi="Cambria Math"/>
          </w:rPr>
          <m:t>η</m:t>
        </m:r>
      </m:oMath>
      <w:r>
        <w:rPr>
          <w:rFonts w:ascii="Times New Roman" w:hAnsi="Times New Roman"/>
          <w:sz w:val="28"/>
          <w:szCs w:val="28"/>
        </w:rPr>
        <w:t xml:space="preserve"> для варианта с тёмной и светлой окраской стен по формуле 1.5. Суммарный световой поток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ламп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выбрать по номинальной мощности для каждого типа ламп по таблице 2.1.</w:t>
      </w:r>
    </w:p>
    <w:p w:rsidR="00D314AD" w:rsidRDefault="00000000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2.1 — Световой поток различных источников света</w:t>
      </w:r>
    </w:p>
    <w:tbl>
      <w:tblPr>
        <w:tblW w:w="936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67"/>
        <w:gridCol w:w="2666"/>
        <w:gridCol w:w="3127"/>
      </w:tblGrid>
      <w:tr w:rsidR="00D314AD"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ламп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Номинальная мощность, Вт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Номинальный световой поток, лм</w:t>
            </w:r>
          </w:p>
        </w:tc>
      </w:tr>
      <w:tr w:rsidR="00D314AD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накаливания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730</w:t>
            </w:r>
          </w:p>
        </w:tc>
      </w:tr>
      <w:tr w:rsidR="00D314AD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люминесцентная КЛ9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D314AD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люминесцентная СКЛЭН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</w:tr>
      <w:tr w:rsidR="00D314AD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галогенная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850</w:t>
            </w:r>
          </w:p>
        </w:tc>
      </w:tr>
      <w:tr w:rsidR="00D314AD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светодиодная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</w:tr>
    </w:tbl>
    <w:p w:rsidR="00D314AD" w:rsidRDefault="00D314AD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Повторить измерения для другого типа ламп.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Сравнить значения коэффициентов использования осветительных установок, полученных для случаев с использованием различных источников света и различной окраской стен.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С помощью люксметра-пульсметра измерить коэффициент пульсации освещённости при включении одной лампы накаливания, а затем одной люминесцентной лампы на 9 Вт.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Измерить и сравнить между собой коэффициенты пульсации освещённости на рабочем месте в учебной аудитории при включении одной фазы, затем двух и трёх фаз.</w:t>
      </w:r>
    </w:p>
    <w:p w:rsidR="00D314AD" w:rsidRDefault="00000000">
      <w:pPr>
        <w:numPr>
          <w:ilvl w:val="0"/>
          <w:numId w:val="4"/>
        </w:numPr>
        <w:ind w:firstLine="709"/>
      </w:pPr>
      <w:r>
        <w:rPr>
          <w:rFonts w:ascii="Times New Roman" w:hAnsi="Times New Roman"/>
          <w:sz w:val="28"/>
          <w:szCs w:val="28"/>
        </w:rPr>
        <w:t>Включить люминесцентную лампу на 9 Вт в центре установки и вентилятор. Вращая ручку «Частота», регулирующую скорость вращения лопастей вентилятора, подобрать такую частоту, при которой возникает стробоскопический эффект.</w:t>
      </w:r>
    </w:p>
    <w:p w:rsidR="00D314AD" w:rsidRDefault="00D314AD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:rsidR="00D314AD" w:rsidRDefault="00000000">
      <w:pPr>
        <w:pStyle w:val="2"/>
        <w:spacing w:before="0" w:line="48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10" w:name="__RefHeading___Toc1131_3191357202"/>
      <w:bookmarkEnd w:id="10"/>
      <w:r>
        <w:rPr>
          <w:rFonts w:ascii="Times New Roman" w:hAnsi="Times New Roman" w:cs="Times New Roman"/>
          <w:sz w:val="28"/>
          <w:szCs w:val="28"/>
        </w:rPr>
        <w:t>Освещённость внутри макета производственного помещения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сняли все необходимые показатели люксметра-пульсметра в пяти разных точках, установив стенки макета производственного помещения сначала тёмной стороной вовнутрь, а затем и светлой в пяти разных точках. Во время выполнения лабораторной работы мы использовали три типа ламп: </w:t>
      </w:r>
      <w:r>
        <w:rPr>
          <w:rFonts w:ascii="Times New Roman" w:hAnsi="Times New Roman"/>
          <w:sz w:val="28"/>
          <w:szCs w:val="28"/>
        </w:rPr>
        <w:lastRenderedPageBreak/>
        <w:t>накаливания, светодиодную и люминесцентную КЛ 9. Все вычисления приведены в таблице 2.2.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пункту 2.1 данного отчёта, мы вычислили средние значения освещённости, значения фактического светового потока и коэффициенты использования осветительной установки.</w:t>
      </w:r>
    </w:p>
    <w:p w:rsidR="00D314AD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нами было произведено вычисление площади макета производственного помещения. Согласно вычислениям, ширина установки составила 0,555 м, а длина — 0,835 м. Тогда площадь поверхности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  <w:sz w:val="28"/>
          <w:szCs w:val="28"/>
        </w:rPr>
        <w:t xml:space="preserve"> данного макета будет составлять примерно 0,463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D314AD" w:rsidRDefault="00000000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Таблица 2.2 — Значения освещённости разных типов ламп</w:t>
      </w:r>
    </w:p>
    <w:tbl>
      <w:tblPr>
        <w:tblW w:w="9351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54"/>
        <w:gridCol w:w="1016"/>
        <w:gridCol w:w="796"/>
        <w:gridCol w:w="960"/>
        <w:gridCol w:w="1190"/>
        <w:gridCol w:w="1190"/>
        <w:gridCol w:w="1308"/>
        <w:gridCol w:w="1637"/>
      </w:tblGrid>
      <w:tr w:rsidR="00D314AD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 ламп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Фон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Номер точки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Осве-щён-ность, лк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Коэффи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циент пульса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ции, 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Среднее значение освещён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ности, лк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Значение фактиче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ского светового потока, лм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Коэффициент использования осветительной установки</w:t>
            </w:r>
          </w:p>
        </w:tc>
      </w:tr>
      <w:tr w:rsidR="00D314AD">
        <w:tc>
          <w:tcPr>
            <w:tcW w:w="125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Свето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диодная</w:t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Тёмный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6C6098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="000B244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18,4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163,8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75,84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1,43</w:t>
            </w: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Светлый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F803C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F803C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228,2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105,66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1,99</w:t>
            </w: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F803C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F803C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F803C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F803C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EB390A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EB390A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EB390A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EB390A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Накалива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ния</w:t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Тёмный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334,4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154,83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0,21</w:t>
            </w: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Светлый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C707F2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533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C707F2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564,2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261,22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0,36</w:t>
            </w: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C707F2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C707F2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C707F2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528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C707F2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3B31BB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</w:t>
            </w:r>
            <w:r w:rsidR="003B31B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Люминес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центная</w:t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Тёмный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316,4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146,49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0,24</w:t>
            </w: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B2447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Светлый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541BA8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436,6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541BA8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642,2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297,34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541BA8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541BA8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34,1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541BA8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651,3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541BA8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32,5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  <w:r w:rsidR="00360D7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360D77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30,1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D314AD"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D314AD">
            <w:pPr>
              <w:pStyle w:val="af6"/>
              <w:widowControl w:val="0"/>
              <w:spacing w:line="36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000000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360D77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562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314AD" w:rsidRDefault="00360D77">
            <w:pPr>
              <w:pStyle w:val="af6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34,6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AD" w:rsidRDefault="00D314AD">
            <w:pPr>
              <w:pStyle w:val="af6"/>
              <w:widowControl w:val="0"/>
              <w:spacing w:line="36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:rsidR="00D314AD" w:rsidRDefault="00D314AD">
      <w:pPr>
        <w:ind w:firstLine="0"/>
        <w:rPr>
          <w:sz w:val="28"/>
          <w:szCs w:val="28"/>
        </w:rPr>
      </w:pPr>
    </w:p>
    <w:p w:rsidR="00D314AD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Исходя из таблицы 2.2, можно сказать, что коэффициенты использования осветительной установки наибольшего значения достигает в случае с использованием светодиодной лампы, а наименьшего — накаливания. Также, согласно таблице 2.2, </w:t>
      </w:r>
    </w:p>
    <w:p w:rsidR="00D314AD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коэффициенты пульсации освещённости в различных точках будут выше при использовании светлого фона.</w:t>
      </w:r>
    </w:p>
    <w:p w:rsidR="00D314AD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Чтобы понять, соответствуют ли полученные значения освещённости СНиП 23-05-95, необходимо установить разряд зрительной работы и характеристику фона. Сравнения мы проводим для 5 разряда зрительных работ на светлом и тёмном фоне для искусственного общего освещения. Согласно СНиП 23-05-95 освещённость при таких заданных характеристиках должна быть равной 100 лк. По нашим измерениям видно, что все средние значения освещённости будут больше нормированного значения.</w:t>
      </w:r>
    </w:p>
    <w:p w:rsidR="00D314AD" w:rsidRDefault="00D314AD">
      <w:pPr>
        <w:ind w:firstLine="709"/>
        <w:rPr>
          <w:sz w:val="28"/>
          <w:szCs w:val="28"/>
        </w:rPr>
      </w:pPr>
    </w:p>
    <w:p w:rsidR="00D314AD" w:rsidRDefault="00000000">
      <w:pPr>
        <w:pStyle w:val="2"/>
        <w:spacing w:before="0" w:line="48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11" w:name="__RefHeading___Toc1133_3191357202"/>
      <w:bookmarkEnd w:id="11"/>
      <w:r>
        <w:rPr>
          <w:rFonts w:ascii="Times New Roman" w:hAnsi="Times New Roman" w:cs="Times New Roman"/>
          <w:sz w:val="28"/>
          <w:szCs w:val="28"/>
        </w:rPr>
        <w:t>Коэффициенты пульсации в учебной аудитории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t xml:space="preserve">Коэффициент пульсации освещённости при использовании люминесцентных ламп на рабочем месте в учебной аудитории при включении одной фазы составляет 31,3%, при включении двух фаз — 19,1%, а при включении трёх — 6,4%. Таким образом, становится понятно, что при увеличении количества фаз, уменьшается коэффициент пульсации </w:t>
      </w:r>
      <w:r>
        <w:rPr>
          <w:rFonts w:ascii="Times New Roman" w:hAnsi="Times New Roman"/>
          <w:sz w:val="28"/>
          <w:szCs w:val="28"/>
        </w:rPr>
        <w:lastRenderedPageBreak/>
        <w:t>освещённости, что положительно влияет на напряжении глаз при зрительной работе.</w:t>
      </w:r>
      <w:r>
        <w:br w:type="page"/>
      </w:r>
    </w:p>
    <w:p w:rsidR="00D314AD" w:rsidRDefault="00000000">
      <w:pPr>
        <w:pStyle w:val="1"/>
        <w:numPr>
          <w:ilvl w:val="0"/>
          <w:numId w:val="0"/>
        </w:numPr>
        <w:spacing w:before="0" w:line="480" w:lineRule="auto"/>
        <w:rPr>
          <w:rFonts w:ascii="Times New Roman" w:hAnsi="Times New Roman" w:cs="Times New Roman"/>
          <w:szCs w:val="28"/>
        </w:rPr>
      </w:pPr>
      <w:bookmarkStart w:id="12" w:name="__RefHeading___Toc324_2691480195"/>
      <w:bookmarkEnd w:id="12"/>
      <w:r>
        <w:rPr>
          <w:rFonts w:ascii="Times New Roman" w:hAnsi="Times New Roman" w:cs="Times New Roman"/>
          <w:sz w:val="32"/>
        </w:rPr>
        <w:lastRenderedPageBreak/>
        <w:t>Заключение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t>В ходе выполнения данной лабораторной работы мы изучили предоставленные теоретические материалы и провели небольшое исследование по освещённости производственных помещений.</w:t>
      </w:r>
    </w:p>
    <w:p w:rsidR="00D314AD" w:rsidRDefault="00000000">
      <w:pPr>
        <w:ind w:firstLine="709"/>
      </w:pPr>
      <w:r>
        <w:rPr>
          <w:rFonts w:ascii="Times New Roman" w:hAnsi="Times New Roman"/>
          <w:sz w:val="28"/>
          <w:szCs w:val="28"/>
        </w:rPr>
        <w:t>Нами были произведены измерения освещённости, создаваемой различными источниками света, внутри макета производственного помещения двумя различными характеристиками фона. Также мы сравнили полученные результаты с допустимыми значениями освещённости на рабочих местах производственных помещений при искусственном освещении, согласно СНиП 23-05-95. Помимо этого, мы выяснили коэффициенты пульсации в учебной аудитории при включении разного количества фаз и наблюдали стробоскопический эффект внутри макета производственного помещения.</w:t>
      </w:r>
    </w:p>
    <w:sectPr w:rsidR="00D314AD">
      <w:headerReference w:type="default" r:id="rId8"/>
      <w:footerReference w:type="default" r:id="rId9"/>
      <w:pgSz w:w="11906" w:h="16838"/>
      <w:pgMar w:top="1134" w:right="850" w:bottom="1474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28CE" w:rsidRDefault="00BA28CE">
      <w:pPr>
        <w:spacing w:line="240" w:lineRule="auto"/>
      </w:pPr>
      <w:r>
        <w:separator/>
      </w:r>
    </w:p>
  </w:endnote>
  <w:endnote w:type="continuationSeparator" w:id="0">
    <w:p w:rsidR="00BA28CE" w:rsidRDefault="00BA2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14AD" w:rsidRDefault="00000000">
    <w:pPr>
      <w:pStyle w:val="a7"/>
      <w:spacing w:line="360" w:lineRule="auto"/>
      <w:ind w:firstLine="0"/>
      <w:jc w:val="center"/>
      <w:rPr>
        <w:rFonts w:ascii="Times New Roman" w:hAnsi="Times New Roman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28CE" w:rsidRDefault="00BA28CE">
      <w:pPr>
        <w:spacing w:line="240" w:lineRule="auto"/>
      </w:pPr>
      <w:r>
        <w:separator/>
      </w:r>
    </w:p>
  </w:footnote>
  <w:footnote w:type="continuationSeparator" w:id="0">
    <w:p w:rsidR="00BA28CE" w:rsidRDefault="00BA2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14AD" w:rsidRDefault="00D314AD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B26"/>
    <w:multiLevelType w:val="multilevel"/>
    <w:tmpl w:val="4652163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5CF2FD2"/>
    <w:multiLevelType w:val="multilevel"/>
    <w:tmpl w:val="8FEA9702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4B6577A"/>
    <w:multiLevelType w:val="multilevel"/>
    <w:tmpl w:val="525C122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 w15:restartNumberingAfterBreak="0">
    <w:nsid w:val="480F28FD"/>
    <w:multiLevelType w:val="multilevel"/>
    <w:tmpl w:val="6EECE756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97928348">
    <w:abstractNumId w:val="0"/>
  </w:num>
  <w:num w:numId="2" w16cid:durableId="235408128">
    <w:abstractNumId w:val="3"/>
  </w:num>
  <w:num w:numId="3" w16cid:durableId="1175070119">
    <w:abstractNumId w:val="1"/>
  </w:num>
  <w:num w:numId="4" w16cid:durableId="419718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4AD"/>
    <w:rsid w:val="000B2447"/>
    <w:rsid w:val="00360D77"/>
    <w:rsid w:val="003B31BB"/>
    <w:rsid w:val="00541BA8"/>
    <w:rsid w:val="006C6098"/>
    <w:rsid w:val="00BA28CE"/>
    <w:rsid w:val="00C707F2"/>
    <w:rsid w:val="00D314AD"/>
    <w:rsid w:val="00EB390A"/>
    <w:rsid w:val="00F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EFA2"/>
  <w15:docId w15:val="{321D0D77-4A8D-49AD-9BDD-B0B3D713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240"/>
      <w:jc w:val="center"/>
      <w:outlineLvl w:val="0"/>
    </w:pPr>
    <w:rPr>
      <w:rFonts w:cs="DejaVu Sans"/>
      <w:b/>
      <w:color w:val="00000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cs="DejaVu Sans"/>
      <w:b/>
      <w:sz w:val="2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cs="DejaVu Sans"/>
      <w:b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cs="DejaVu Sans"/>
      <w:b/>
      <w:iCs/>
      <w:sz w:val="1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 w:cs="DejaVu Sans"/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 w:cs="DejaVu Sans"/>
      <w:color w:val="1F4D78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 w:cs="DejaVu Sans"/>
      <w:i/>
      <w:iCs/>
      <w:color w:val="1F4D78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 w:cs="DejaVu Sans"/>
      <w:color w:val="272727"/>
      <w:sz w:val="21"/>
      <w:szCs w:val="21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 w:cs="DejaVu Sans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Pr>
      <w:rFonts w:ascii="Arial" w:eastAsia="Calibri" w:hAnsi="Arial" w:cs="DejaVu Sans"/>
      <w:b/>
      <w:color w:val="000000"/>
      <w:sz w:val="28"/>
      <w:szCs w:val="32"/>
    </w:rPr>
  </w:style>
  <w:style w:type="character" w:customStyle="1" w:styleId="20">
    <w:name w:val="Заголовок 2 Знак"/>
    <w:basedOn w:val="a1"/>
    <w:link w:val="2"/>
    <w:qFormat/>
    <w:rPr>
      <w:rFonts w:ascii="Arial" w:eastAsia="Calibri" w:hAnsi="Arial" w:cs="DejaVu Sans"/>
      <w:b/>
      <w:szCs w:val="26"/>
    </w:rPr>
  </w:style>
  <w:style w:type="character" w:customStyle="1" w:styleId="30">
    <w:name w:val="Заголовок 3 Знак"/>
    <w:basedOn w:val="a1"/>
    <w:link w:val="3"/>
    <w:qFormat/>
    <w:rPr>
      <w:rFonts w:ascii="Arial" w:eastAsia="Calibri" w:hAnsi="Arial" w:cs="DejaVu Sans"/>
      <w:b/>
      <w:sz w:val="20"/>
      <w:szCs w:val="24"/>
    </w:rPr>
  </w:style>
  <w:style w:type="character" w:customStyle="1" w:styleId="40">
    <w:name w:val="Заголовок 4 Знак"/>
    <w:basedOn w:val="a1"/>
    <w:link w:val="4"/>
    <w:qFormat/>
    <w:rPr>
      <w:rFonts w:ascii="Arial" w:eastAsia="Calibri" w:hAnsi="Arial" w:cs="DejaVu Sans"/>
      <w:b/>
      <w:iCs/>
      <w:sz w:val="18"/>
      <w:szCs w:val="32"/>
    </w:rPr>
  </w:style>
  <w:style w:type="character" w:customStyle="1" w:styleId="50">
    <w:name w:val="Заголовок 5 Знак"/>
    <w:basedOn w:val="a1"/>
    <w:link w:val="5"/>
    <w:qFormat/>
    <w:rPr>
      <w:rFonts w:ascii="Calibri Light" w:eastAsia="Calibri" w:hAnsi="Calibri Light" w:cs="DejaVu Sans"/>
      <w:color w:val="2E74B5"/>
      <w:sz w:val="24"/>
      <w:szCs w:val="32"/>
    </w:rPr>
  </w:style>
  <w:style w:type="character" w:customStyle="1" w:styleId="60">
    <w:name w:val="Заголовок 6 Знак"/>
    <w:basedOn w:val="a1"/>
    <w:link w:val="6"/>
    <w:qFormat/>
    <w:rPr>
      <w:rFonts w:ascii="Calibri Light" w:eastAsia="Calibri" w:hAnsi="Calibri Light" w:cs="DejaVu Sans"/>
      <w:color w:val="1F4D78"/>
      <w:sz w:val="24"/>
      <w:szCs w:val="32"/>
    </w:rPr>
  </w:style>
  <w:style w:type="character" w:customStyle="1" w:styleId="70">
    <w:name w:val="Заголовок 7 Знак"/>
    <w:basedOn w:val="a1"/>
    <w:link w:val="7"/>
    <w:qFormat/>
    <w:rPr>
      <w:rFonts w:ascii="Calibri Light" w:eastAsia="Calibri" w:hAnsi="Calibri Light" w:cs="DejaVu Sans"/>
      <w:i/>
      <w:iCs/>
      <w:color w:val="1F4D78"/>
      <w:sz w:val="24"/>
      <w:szCs w:val="32"/>
    </w:rPr>
  </w:style>
  <w:style w:type="character" w:customStyle="1" w:styleId="80">
    <w:name w:val="Заголовок 8 Знак"/>
    <w:basedOn w:val="a1"/>
    <w:link w:val="8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90">
    <w:name w:val="Заголовок 9 Знак"/>
    <w:basedOn w:val="a1"/>
    <w:link w:val="9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a4">
    <w:name w:val="Верхний колонтитул Знак"/>
    <w:basedOn w:val="a1"/>
    <w:link w:val="a5"/>
    <w:qFormat/>
    <w:rPr>
      <w:rFonts w:ascii="Arial" w:hAnsi="Arial" w:cs="Times New Roman"/>
      <w:sz w:val="24"/>
      <w:szCs w:val="32"/>
    </w:rPr>
  </w:style>
  <w:style w:type="character" w:customStyle="1" w:styleId="a6">
    <w:name w:val="Нижний колонтитул Знак"/>
    <w:basedOn w:val="a1"/>
    <w:link w:val="a7"/>
    <w:qFormat/>
    <w:rPr>
      <w:rFonts w:ascii="Arial" w:hAnsi="Arial" w:cs="Times New Roman"/>
      <w:sz w:val="24"/>
      <w:szCs w:val="32"/>
    </w:rPr>
  </w:style>
  <w:style w:type="character" w:styleId="a8">
    <w:name w:val="Placeholder Text"/>
    <w:basedOn w:val="a1"/>
    <w:qFormat/>
    <w:rPr>
      <w:color w:val="808080"/>
    </w:rPr>
  </w:style>
  <w:style w:type="character" w:customStyle="1" w:styleId="fontstyle01">
    <w:name w:val="fontstyle01"/>
    <w:basedOn w:val="a1"/>
    <w:qFormat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1"/>
    <w:qFormat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customStyle="1" w:styleId="a9">
    <w:name w:val="Символ нумерации"/>
    <w:qFormat/>
    <w:rPr>
      <w:sz w:val="28"/>
      <w:szCs w:val="28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0"/>
    <w:next w:val="ad"/>
    <w:uiPriority w:val="1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Droid Sans Devanagari"/>
    </w:rPr>
  </w:style>
  <w:style w:type="paragraph" w:styleId="af">
    <w:name w:val="caption"/>
    <w:basedOn w:val="a0"/>
    <w:next w:val="a0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0">
    <w:name w:val="index heading"/>
    <w:basedOn w:val="ac"/>
    <w:pPr>
      <w:suppressLineNumbers/>
      <w:ind w:firstLine="0"/>
    </w:pPr>
    <w:rPr>
      <w:b/>
      <w:bCs/>
      <w:sz w:val="32"/>
      <w:szCs w:val="32"/>
    </w:rPr>
  </w:style>
  <w:style w:type="paragraph" w:customStyle="1" w:styleId="af1">
    <w:name w:val="Колонтитул"/>
    <w:basedOn w:val="a0"/>
    <w:qFormat/>
  </w:style>
  <w:style w:type="paragraph" w:styleId="a5">
    <w:name w:val="header"/>
    <w:basedOn w:val="a0"/>
    <w:link w:val="a4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0"/>
    <w:link w:val="a6"/>
    <w:pPr>
      <w:tabs>
        <w:tab w:val="center" w:pos="4677"/>
        <w:tab w:val="right" w:pos="9355"/>
      </w:tabs>
      <w:spacing w:line="240" w:lineRule="auto"/>
    </w:pPr>
  </w:style>
  <w:style w:type="paragraph" w:styleId="af2">
    <w:name w:val="List Paragraph"/>
    <w:basedOn w:val="a0"/>
    <w:qFormat/>
    <w:pPr>
      <w:ind w:left="720"/>
      <w:contextualSpacing/>
    </w:pPr>
  </w:style>
  <w:style w:type="paragraph" w:styleId="af3">
    <w:name w:val="Normal (Web)"/>
    <w:basedOn w:val="a0"/>
    <w:qFormat/>
    <w:pPr>
      <w:spacing w:before="280" w:after="280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paragraph" w:customStyle="1" w:styleId="a">
    <w:name w:val="Свой"/>
    <w:basedOn w:val="a0"/>
    <w:qFormat/>
    <w:pPr>
      <w:numPr>
        <w:numId w:val="2"/>
      </w:numPr>
      <w:ind w:firstLine="709"/>
      <w:jc w:val="center"/>
      <w:outlineLvl w:val="0"/>
    </w:pPr>
    <w:rPr>
      <w:rFonts w:ascii="Times New Roman" w:hAnsi="Times New Roman"/>
      <w:b/>
      <w:color w:val="000000"/>
    </w:rPr>
  </w:style>
  <w:style w:type="paragraph" w:customStyle="1" w:styleId="af4">
    <w:name w:val="Стиль для Тсиса"/>
    <w:basedOn w:val="a"/>
    <w:qFormat/>
  </w:style>
  <w:style w:type="paragraph" w:styleId="af5">
    <w:name w:val="TOC Heading"/>
    <w:basedOn w:val="af0"/>
  </w:style>
  <w:style w:type="paragraph" w:styleId="11">
    <w:name w:val="toc 1"/>
    <w:basedOn w:val="af0"/>
    <w:pPr>
      <w:tabs>
        <w:tab w:val="right" w:leader="dot" w:pos="9638"/>
      </w:tabs>
    </w:pPr>
  </w:style>
  <w:style w:type="paragraph" w:styleId="21">
    <w:name w:val="toc 2"/>
    <w:basedOn w:val="af0"/>
    <w:pPr>
      <w:tabs>
        <w:tab w:val="right" w:leader="dot" w:pos="9355"/>
      </w:tabs>
      <w:ind w:left="283"/>
    </w:pPr>
  </w:style>
  <w:style w:type="paragraph" w:customStyle="1" w:styleId="af6">
    <w:name w:val="Содержимое таблицы"/>
    <w:qFormat/>
  </w:style>
  <w:style w:type="paragraph" w:customStyle="1" w:styleId="af7">
    <w:name w:val="Заголовок таблицы"/>
    <w:basedOn w:val="af6"/>
    <w:qFormat/>
    <w:pPr>
      <w:suppressLineNumbers/>
      <w:jc w:val="center"/>
    </w:pPr>
    <w:rPr>
      <w:b/>
      <w:bCs/>
    </w:rPr>
  </w:style>
  <w:style w:type="paragraph" w:customStyle="1" w:styleId="af8">
    <w:name w:val="Таблица"/>
    <w:basedOn w:val="af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6843</TotalTime>
  <Pages>16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Darya Shvoeva</cp:lastModifiedBy>
  <cp:revision>283</cp:revision>
  <dcterms:created xsi:type="dcterms:W3CDTF">2020-10-17T08:08:00Z</dcterms:created>
  <dcterms:modified xsi:type="dcterms:W3CDTF">2022-11-15T06:52:00Z</dcterms:modified>
  <dc:language>ru-RU</dc:language>
</cp:coreProperties>
</file>