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1760516039"/>
        <w:docPartObj>
          <w:docPartGallery w:val="Cover Pages"/>
          <w:docPartUnique/>
        </w:docPartObj>
      </w:sdtPr>
      <w:sdtEndPr/>
      <w:sdtContent>
        <w:p w14:paraId="5E2E7ECC" w14:textId="77777777"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A97757">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411603">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7EEEC3E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00E598F0" w:rsidR="00996F49" w:rsidRDefault="00411603">
                                <w:pPr>
                                  <w:spacing w:before="240"/>
                                  <w:jc w:val="center"/>
                                  <w:rPr>
                                    <w:color w:val="FFFFFF" w:themeColor="background1"/>
                                  </w:rPr>
                                </w:pPr>
                                <w:r>
                                  <w:rPr>
                                    <w:noProof/>
                                    <w:color w:val="FFFFFF" w:themeColor="background1"/>
                                    <w:lang w:eastAsia="fr-FR"/>
                                  </w:rPr>
                                  <w:drawing>
                                    <wp:inline distT="0" distB="0" distL="0" distR="0" wp14:anchorId="0328DFE5" wp14:editId="68B016B0">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9">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A9775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00E598F0" w:rsidR="00996F49" w:rsidRDefault="00411603">
                          <w:pPr>
                            <w:spacing w:before="240"/>
                            <w:jc w:val="center"/>
                            <w:rPr>
                              <w:color w:val="FFFFFF" w:themeColor="background1"/>
                            </w:rPr>
                          </w:pPr>
                          <w:bookmarkStart w:id="1" w:name="_GoBack"/>
                          <w:r>
                            <w:rPr>
                              <w:noProof/>
                              <w:color w:val="FFFFFF" w:themeColor="background1"/>
                            </w:rPr>
                            <w:drawing>
                              <wp:inline distT="0" distB="0" distL="0" distR="0" wp14:anchorId="0328DFE5" wp14:editId="68B016B0">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10">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411603">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C71F134"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r w:rsidR="008D0E0B">
                                      <w:rPr>
                                        <w:rFonts w:asciiTheme="majorHAnsi" w:eastAsiaTheme="majorEastAsia" w:hAnsiTheme="majorHAnsi" w:cstheme="majorBidi"/>
                                        <w:color w:val="373545" w:themeColor="text2"/>
                                        <w:sz w:val="32"/>
                                        <w:szCs w:val="32"/>
                                      </w:rPr>
                                      <w:t xml:space="preserve"> – failover </w:t>
                                    </w:r>
                                    <w:r w:rsidR="00960F6D">
                                      <w:rPr>
                                        <w:rFonts w:asciiTheme="majorHAnsi" w:eastAsiaTheme="majorEastAsia" w:hAnsiTheme="majorHAnsi" w:cstheme="majorBidi"/>
                                        <w:color w:val="373545" w:themeColor="text2"/>
                                        <w:sz w:val="32"/>
                                        <w:szCs w:val="32"/>
                                      </w:rPr>
                                      <w:t>manuelle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C71F134"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r w:rsidR="008D0E0B">
                                <w:rPr>
                                  <w:rFonts w:asciiTheme="majorHAnsi" w:eastAsiaTheme="majorEastAsia" w:hAnsiTheme="majorHAnsi" w:cstheme="majorBidi"/>
                                  <w:color w:val="373545" w:themeColor="text2"/>
                                  <w:sz w:val="32"/>
                                  <w:szCs w:val="32"/>
                                </w:rPr>
                                <w:t xml:space="preserve"> – failover </w:t>
                              </w:r>
                              <w:r w:rsidR="00960F6D">
                                <w:rPr>
                                  <w:rFonts w:asciiTheme="majorHAnsi" w:eastAsiaTheme="majorEastAsia" w:hAnsiTheme="majorHAnsi" w:cstheme="majorBidi"/>
                                  <w:color w:val="373545" w:themeColor="text2"/>
                                  <w:sz w:val="32"/>
                                  <w:szCs w:val="32"/>
                                </w:rPr>
                                <w:t>manuelle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A97757">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A97757">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A97757">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A97757">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A97757">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1" w:name="_Toc498435199"/>
      <w:r>
        <w:lastRenderedPageBreak/>
        <w:t>Description du contexte :</w:t>
      </w:r>
      <w:bookmarkEnd w:id="1"/>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2" w:name="_Toc498435200"/>
      <w:r>
        <w:t>Fiche :</w:t>
      </w:r>
      <w:bookmarkEnd w:id="2"/>
      <w:r>
        <w:t xml:space="preserve"> </w:t>
      </w:r>
    </w:p>
    <w:p w14:paraId="214711AF" w14:textId="77777777" w:rsidR="00996F49" w:rsidRDefault="00996F49" w:rsidP="00996F49">
      <w:pPr>
        <w:pStyle w:val="Titre2"/>
      </w:pPr>
      <w:bookmarkStart w:id="3" w:name="_Toc498435201"/>
      <w:r>
        <w:t>Gestion du pattern :</w:t>
      </w:r>
      <w:bookmarkEnd w:id="3"/>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6CAC98E7"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Haute disponibilité</w:t>
            </w:r>
            <w:r w:rsidR="00960F6D">
              <w:rPr>
                <w:rFonts w:ascii="Arial" w:eastAsia="Times New Roman" w:hAnsi="Arial" w:cs="Arial"/>
                <w:color w:val="333333"/>
                <w:szCs w:val="16"/>
                <w:lang w:eastAsia="fr-FR"/>
              </w:rPr>
              <w:t xml:space="preserve"> – bascule manuelle</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0D553633" w:rsidR="00996F49" w:rsidRPr="00F0056C" w:rsidRDefault="00A97757"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960F6D">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A97757"/>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57"/>
        <w:gridCol w:w="7400"/>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60F6D"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960F6D"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49A79618" w:rsidR="00996F49" w:rsidRPr="006B1FF3" w:rsidRDefault="00F0056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960F6D"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3D35E0F9"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960F6D"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645C94BF" w14:textId="109774EC" w:rsidR="00E73CA3"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Pour les applications qui nécessite une bascule dite </w:t>
            </w:r>
            <w:r w:rsidR="00960F6D">
              <w:rPr>
                <w:rFonts w:ascii="Segoe UI" w:hAnsi="Segoe UI" w:cs="Segoe UI"/>
                <w:sz w:val="18"/>
                <w:szCs w:val="18"/>
              </w:rPr>
              <w:t>manuelle</w:t>
            </w:r>
            <w:r>
              <w:rPr>
                <w:rFonts w:ascii="Segoe UI" w:hAnsi="Segoe UI" w:cs="Segoe UI"/>
                <w:sz w:val="18"/>
                <w:szCs w:val="18"/>
              </w:rPr>
              <w:t xml:space="preserve"> et ou </w:t>
            </w:r>
            <w:r w:rsidR="00960F6D">
              <w:rPr>
                <w:rFonts w:ascii="Segoe UI" w:hAnsi="Segoe UI" w:cs="Segoe UI"/>
                <w:sz w:val="18"/>
                <w:szCs w:val="18"/>
              </w:rPr>
              <w:t>maitrisé</w:t>
            </w:r>
            <w:r>
              <w:rPr>
                <w:rFonts w:ascii="Segoe UI" w:hAnsi="Segoe UI" w:cs="Segoe UI"/>
                <w:sz w:val="18"/>
                <w:szCs w:val="18"/>
              </w:rPr>
              <w:t xml:space="preserve"> du service en </w:t>
            </w:r>
            <w:r w:rsidR="00960F6D">
              <w:rPr>
                <w:rFonts w:ascii="Segoe UI" w:hAnsi="Segoe UI" w:cs="Segoe UI"/>
                <w:sz w:val="18"/>
                <w:szCs w:val="18"/>
              </w:rPr>
              <w:t>dessus des dix</w:t>
            </w:r>
            <w:r>
              <w:rPr>
                <w:rFonts w:ascii="Segoe UI" w:hAnsi="Segoe UI" w:cs="Segoe UI"/>
                <w:sz w:val="18"/>
                <w:szCs w:val="18"/>
              </w:rPr>
              <w:t xml:space="preserve"> minute, il est nécessaire d’implémenter une solution de bascule</w:t>
            </w:r>
            <w:r w:rsidR="00960F6D">
              <w:rPr>
                <w:rFonts w:ascii="Segoe UI" w:hAnsi="Segoe UI" w:cs="Segoe UI"/>
                <w:sz w:val="18"/>
                <w:szCs w:val="18"/>
              </w:rPr>
              <w:t xml:space="preserve"> manuelle ainsi que sa procédure et son processus de déclanchement.</w:t>
            </w:r>
            <w:r>
              <w:rPr>
                <w:rFonts w:ascii="Segoe UI" w:hAnsi="Segoe UI" w:cs="Segoe UI"/>
                <w:sz w:val="18"/>
                <w:szCs w:val="18"/>
              </w:rPr>
              <w:t xml:space="preserve"> </w:t>
            </w:r>
          </w:p>
          <w:p w14:paraId="4F0175F9" w14:textId="0617AF59"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55AE8D4C" w14:textId="349E9C8B"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Les cas d’usage sont : </w:t>
            </w:r>
          </w:p>
          <w:p w14:paraId="43E86127" w14:textId="44E3FB25"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3233BBE4" w14:textId="0E06865C" w:rsidR="008D0E0B" w:rsidRDefault="00960F6D"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Dans le cadre de l’exploitation d’un service X par une équipe Y le responsable du service peut demander à l’équipe Y de basculer le service du nœud A vers le nœud B</w:t>
            </w:r>
          </w:p>
          <w:p w14:paraId="0753EF96" w14:textId="5546831A" w:rsidR="009F5F12" w:rsidRPr="00F0056C"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960F6D"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0827DB0F" w14:textId="21EA9401" w:rsidR="001D0A90" w:rsidRDefault="008D0E0B"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type de solution est utilisé dans les contexte ou le délai de remise en service d’une application </w:t>
            </w:r>
            <w:r w:rsidR="00960F6D">
              <w:rPr>
                <w:rFonts w:ascii="Arial" w:eastAsia="Times New Roman" w:hAnsi="Arial" w:cs="Arial"/>
                <w:color w:val="333333"/>
                <w:szCs w:val="16"/>
                <w:lang w:eastAsia="fr-FR"/>
              </w:rPr>
              <w:t>est au-dessus</w:t>
            </w:r>
            <w:r>
              <w:rPr>
                <w:rFonts w:ascii="Arial" w:eastAsia="Times New Roman" w:hAnsi="Arial" w:cs="Arial"/>
                <w:color w:val="333333"/>
                <w:szCs w:val="16"/>
                <w:lang w:eastAsia="fr-FR"/>
              </w:rPr>
              <w:t xml:space="preserve"> de la dizaine de minute</w:t>
            </w:r>
            <w:r w:rsidR="00960F6D">
              <w:rPr>
                <w:rFonts w:ascii="Arial" w:eastAsia="Times New Roman" w:hAnsi="Arial" w:cs="Arial"/>
                <w:color w:val="333333"/>
                <w:szCs w:val="16"/>
                <w:lang w:eastAsia="fr-FR"/>
              </w:rPr>
              <w:t xml:space="preserve"> et ou que le service visé par ce type de bascule est trop complexe à monitorer de façon fiable au travers d’outils de monitoring.</w:t>
            </w:r>
          </w:p>
          <w:p w14:paraId="6E2FACCD" w14:textId="77777777" w:rsidR="008D0E0B" w:rsidRDefault="00960F6D"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type de bascule peut être utilisé dans le cadre d’une procédure et d’un processus donné.</w:t>
            </w:r>
          </w:p>
          <w:p w14:paraId="7218BC92" w14:textId="5EEE52F0" w:rsidR="00960F6D" w:rsidRPr="006B1FF3" w:rsidRDefault="00960F6D"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La responsabilité de l’émission de l’ordre de bascule peut être délégué au responsable d’une équipe </w:t>
            </w:r>
            <w:proofErr w:type="spellStart"/>
            <w:r>
              <w:rPr>
                <w:rFonts w:ascii="Arial" w:eastAsia="Times New Roman" w:hAnsi="Arial" w:cs="Arial"/>
                <w:color w:val="333333"/>
                <w:szCs w:val="16"/>
                <w:lang w:eastAsia="fr-FR"/>
              </w:rPr>
              <w:t>tierse</w:t>
            </w:r>
            <w:proofErr w:type="spellEnd"/>
            <w:r>
              <w:rPr>
                <w:rFonts w:ascii="Arial" w:eastAsia="Times New Roman" w:hAnsi="Arial" w:cs="Arial"/>
                <w:color w:val="333333"/>
                <w:szCs w:val="16"/>
                <w:lang w:eastAsia="fr-FR"/>
              </w:rPr>
              <w:t xml:space="preserve"> et ou d’un lot d’utilisateur clé de la solution.</w:t>
            </w:r>
          </w:p>
        </w:tc>
      </w:tr>
    </w:tbl>
    <w:p w14:paraId="3CB09FB1" w14:textId="77777777" w:rsidR="00996F49" w:rsidRDefault="00996F49"/>
    <w:p w14:paraId="5EEB0C49" w14:textId="77777777" w:rsidR="00996F49" w:rsidRDefault="00996F49"/>
    <w:p w14:paraId="680A4416" w14:textId="77777777" w:rsidR="00960F6D" w:rsidRDefault="00960F6D">
      <w:pPr>
        <w:rPr>
          <w:caps/>
          <w:spacing w:val="15"/>
        </w:rPr>
      </w:pPr>
      <w:bookmarkStart w:id="5" w:name="_Toc498435203"/>
      <w:r>
        <w:br w:type="page"/>
      </w:r>
    </w:p>
    <w:p w14:paraId="7A433531" w14:textId="77F0B2DA" w:rsidR="00996F49" w:rsidRDefault="00996F49" w:rsidP="00996F49">
      <w:pPr>
        <w:pStyle w:val="Titre2"/>
      </w:pPr>
      <w:r>
        <w:lastRenderedPageBreak/>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5A8E5B37" w:rsidR="00996F49" w:rsidRPr="006B1FF3" w:rsidRDefault="00960F6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r w:rsidR="00996F49">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039577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372349B2"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0B610240" w:rsidR="00996F49" w:rsidRPr="006B1FF3" w:rsidRDefault="00E73CA3"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reprise d’un service X sur un Serveur Y à la suite d’une défaillance sur le serveur Z</w:t>
            </w:r>
            <w:r w:rsidR="008D0E0B">
              <w:rPr>
                <w:rFonts w:ascii="Arial" w:eastAsia="Times New Roman" w:hAnsi="Arial" w:cs="Arial"/>
                <w:color w:val="333333"/>
                <w:szCs w:val="16"/>
                <w:lang w:eastAsia="fr-FR"/>
              </w:rPr>
              <w:t xml:space="preserve"> via un mécanisme </w:t>
            </w:r>
            <w:r w:rsidR="00960F6D">
              <w:rPr>
                <w:rFonts w:ascii="Arial" w:eastAsia="Times New Roman" w:hAnsi="Arial" w:cs="Arial"/>
                <w:color w:val="333333"/>
                <w:szCs w:val="16"/>
                <w:lang w:eastAsia="fr-FR"/>
              </w:rPr>
              <w:t xml:space="preserve">de demande et d’exécution de procédure selon un processus pré établis entre </w:t>
            </w:r>
            <w:proofErr w:type="gramStart"/>
            <w:r w:rsidR="00960F6D">
              <w:rPr>
                <w:rFonts w:ascii="Arial" w:eastAsia="Times New Roman" w:hAnsi="Arial" w:cs="Arial"/>
                <w:color w:val="333333"/>
                <w:szCs w:val="16"/>
                <w:lang w:eastAsia="fr-FR"/>
              </w:rPr>
              <w:t>les équipe</w:t>
            </w:r>
            <w:proofErr w:type="gramEnd"/>
            <w:r w:rsidR="00960F6D">
              <w:rPr>
                <w:rFonts w:ascii="Arial" w:eastAsia="Times New Roman" w:hAnsi="Arial" w:cs="Arial"/>
                <w:color w:val="333333"/>
                <w:szCs w:val="16"/>
                <w:lang w:eastAsia="fr-FR"/>
              </w:rPr>
              <w:t xml:space="preserve"> de production et les équipe responsable du service.</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ABFFF5" w14:textId="59BF33A7" w:rsidR="001D0A90"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Suivant le niveau de service et de persistance des transaction en cours sur la plateforme au moment de l’incident, il est important de pouvoir définir une mécanique de bascule de service en adéquation avec les élément de besoins du métier.</w:t>
            </w:r>
          </w:p>
          <w:p w14:paraId="0DEAABD0" w14:textId="1A7057EB" w:rsidR="00960F6D" w:rsidRDefault="00960F6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Ne peut être implémenté sans la mise en place de procédure et de processus </w:t>
            </w:r>
            <w:r w:rsidR="00B008D1">
              <w:rPr>
                <w:rFonts w:ascii="Arial" w:eastAsia="Times New Roman" w:hAnsi="Arial" w:cs="Arial"/>
                <w:color w:val="333333"/>
                <w:szCs w:val="16"/>
                <w:lang w:eastAsia="fr-FR"/>
              </w:rPr>
              <w:t>correspondants</w:t>
            </w:r>
            <w:r>
              <w:rPr>
                <w:rFonts w:ascii="Arial" w:eastAsia="Times New Roman" w:hAnsi="Arial" w:cs="Arial"/>
                <w:color w:val="333333"/>
                <w:szCs w:val="16"/>
                <w:lang w:eastAsia="fr-FR"/>
              </w:rPr>
              <w:t>.</w:t>
            </w:r>
          </w:p>
          <w:p w14:paraId="57D31164" w14:textId="1E09C7BF" w:rsidR="008D0E0B" w:rsidRDefault="008D0E0B"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p w14:paraId="7840BC6E" w14:textId="23006841" w:rsidR="00B008D1" w:rsidRDefault="00B008D1"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Ne permet pas une bascule non perceptible des utilisateur finaux et peux dégrader l’image du service final si le processus de déclanchement souffre de </w:t>
            </w:r>
            <w:r w:rsidR="004A23ED">
              <w:rPr>
                <w:rFonts w:ascii="Arial" w:eastAsia="Times New Roman" w:hAnsi="Arial" w:cs="Arial"/>
                <w:color w:val="333333"/>
                <w:szCs w:val="16"/>
                <w:lang w:eastAsia="fr-FR"/>
              </w:rPr>
              <w:t>dysfonction</w:t>
            </w:r>
            <w:r>
              <w:rPr>
                <w:rFonts w:ascii="Arial" w:eastAsia="Times New Roman" w:hAnsi="Arial" w:cs="Arial"/>
                <w:color w:val="333333"/>
                <w:szCs w:val="16"/>
                <w:lang w:eastAsia="fr-FR"/>
              </w:rPr>
              <w:t>.</w:t>
            </w:r>
          </w:p>
          <w:p w14:paraId="538F07F4" w14:textId="08873CEA" w:rsidR="00E73CA3" w:rsidRPr="006B1FF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1D0A90"/>
    <w:rsid w:val="002E4930"/>
    <w:rsid w:val="003649E6"/>
    <w:rsid w:val="00411603"/>
    <w:rsid w:val="004A23ED"/>
    <w:rsid w:val="00550917"/>
    <w:rsid w:val="005E7425"/>
    <w:rsid w:val="008D0E0B"/>
    <w:rsid w:val="00960F6D"/>
    <w:rsid w:val="00996F49"/>
    <w:rsid w:val="009F5F12"/>
    <w:rsid w:val="00A97757"/>
    <w:rsid w:val="00B008D1"/>
    <w:rsid w:val="00DC726E"/>
    <w:rsid w:val="00E72638"/>
    <w:rsid w:val="00E73CA3"/>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0.jpg"/><Relationship Id="rId4" Type="http://schemas.openxmlformats.org/officeDocument/2006/relationships/customXml" Target="../customXml/item4.xml"/><Relationship Id="rId9"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1569D1"/>
    <w:rsid w:val="00193E74"/>
    <w:rsid w:val="00246B68"/>
    <w:rsid w:val="002E4D40"/>
    <w:rsid w:val="003D6DEF"/>
    <w:rsid w:val="00AD312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Autre</Type_x0020_de_x0020_livrabl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A98C59-DE77-4B7B-802A-444FDFBEA562}">
  <ds:schemaRefs>
    <ds:schemaRef ds:uri="http://purl.org/dc/terms/"/>
    <ds:schemaRef ds:uri="http://schemas.microsoft.com/office/2006/documentManagement/types"/>
    <ds:schemaRef ds:uri="http://purl.org/dc/dcmitype/"/>
    <ds:schemaRef ds:uri="e5250cd0-3a64-422b-8364-e9f394b7119d"/>
    <ds:schemaRef ds:uri="http://purl.org/dc/elements/1.1/"/>
    <ds:schemaRef ds:uri="http://schemas.microsoft.com/office/2006/metadata/properties"/>
    <ds:schemaRef ds:uri="1afd8e39-87dc-4697-939b-4616748f22a2"/>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BC22D939-C38C-470C-808F-2ECDF2FDFB6C}">
  <ds:schemaRefs>
    <ds:schemaRef ds:uri="http://schemas.microsoft.com/sharepoint/v3/contenttype/forms"/>
  </ds:schemaRefs>
</ds:datastoreItem>
</file>

<file path=customXml/itemProps4.xml><?xml version="1.0" encoding="utf-8"?>
<ds:datastoreItem xmlns:ds="http://schemas.openxmlformats.org/officeDocument/2006/customXml" ds:itemID="{FC4E2E26-78B3-434B-A591-FA75B892ED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250cd0-3a64-422b-8364-e9f394b7119d"/>
    <ds:schemaRef ds:uri="1afd8e39-87dc-4697-939b-4616748f22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514</Words>
  <Characters>2831</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Haute disponibilité – failover manuelle</dc:subject>
  <dc:creator>Arnaud crampet</dc:creator>
  <cp:keywords/>
  <dc:description/>
  <cp:lastModifiedBy>Arnaud CRAMPET</cp:lastModifiedBy>
  <cp:revision>2</cp:revision>
  <dcterms:created xsi:type="dcterms:W3CDTF">2017-11-23T14:03:00Z</dcterms:created>
  <dcterms:modified xsi:type="dcterms:W3CDTF">2017-11-23T14:03:00Z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