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Compound heat, extreme precipitation and drought across sub-Saharan Africa</w:t>
      </w:r>
    </w:p>
    <w:p>
      <w:pPr>
        <w:pStyle w:val="Heading1"/>
      </w:pPr>
      <w:r>
        <w:t xml:space="preserve">Results</w:t>
      </w:r>
    </w:p>
    <w:p>
      <w:pPr>
        <w:spacing w:after="160"/>
        <w:jc w:val="both"/>
      </w:pPr>
      <w:r>
        <w:t xml:space="preserve">We examine three types of compound events at 54,615 Demographic and Health Survey (DHS) primary sampling units (PSUs; survey clusters) in 34 sub-Saharan African countries over 1985–2024: same-day co-occurrence of heatwaves and extreme precipitation events (EPEs), the occurrence of EPEs before and after heatwaves, and heatwaves preceded by drought. Heatwaves are defined relative to the local seasonal cycle (at least three days above the calendar-day 90th percentile of daily maximum temperature), EPEs as days above the local 95th percentile of wet-day precipitation, and drought as a 3-month Standardized Precipitation–Evapotranspiration Index (SPEI-3) below −1 in the month before heatwave onset (Methods).</w:t>
      </w:r>
    </w:p>
    <w:p>
      <w:pPr>
        <w:pStyle w:val="Heading2"/>
      </w:pPr>
      <w:r>
        <w:t xml:space="preserve">Where compound events occur</w:t>
      </w:r>
    </w:p>
    <w:p>
      <w:pPr>
        <w:spacing w:after="160"/>
        <w:jc w:val="both"/>
      </w:pPr>
      <w:r>
        <w:t xml:space="preserve">The three types of compound events show distinct spatial patterns (Fig. 1). Same-day heatwave–extreme precipitation events are strongly influenced by background moisture availability, occurring mostly in humid regions such as Madagascar and the Great Lakes region (Rwanda, Burundi, eastern Democratic Republic of the Congo), while remaining rare in arid zones including the Sahel and Namibia (Fig. 1a). Across the continent, they occurred on average on 3.0 days per PSU over the 40 years, but their distribution was highly heterogeneous: 24.0% of locations experienced none, whereas a few hotspots recorded up to 32. Heatwave days and extreme-precipitation days coincided far less often than expected if they were independent: the likelihood multiplication factor, which accounts for the shared seasonal cycle of the two hazards, was 0.32 (95% confidence interval (CI) 0.30–0.33), about three times fewer co-occurrences than chance. It was lowest in Southern Africa (0.09, 0.07–0.12) and highest in Central (0.42, 0.40–0.44) and Western Africa (0.41, 0.39–0.44) (Supplementary Table 7).</w:t>
      </w:r>
    </w:p>
    <w:p>
      <w:pPr>
        <w:spacing w:after="160"/>
        <w:jc w:val="both"/>
      </w:pPr>
      <w:r>
        <w:t xml:space="preserve">Extreme precipitation was more frequent after heatwaves than before them at 83.4% of PSUs (Fig. 1b). This ratio is highest in Southern Africa and in eastern Africa south of the equator, and lowest in the Congo basin, where some clusters show ratios below one. Drought-preconditioned heatwaves follow a clear moisture gradient (Fig. 1c): 29.7% of heatwaves were preceded by drought, most commonly in Southern Africa and the western Sahel and least in humid equatorial regions, consistent with local drought frequencies (Extended Data Fig. 7).</w:t>
      </w:r>
    </w:p>
    <w:p>
      <w:pPr>
        <w:pStyle w:val="Heading2"/>
      </w:pPr>
      <w:r>
        <w:t xml:space="preserve">Changes over four decades</w:t>
      </w:r>
    </w:p>
    <w:p>
      <w:pPr>
        <w:spacing w:after="160"/>
        <w:jc w:val="both"/>
      </w:pPr>
      <w:r>
        <w:t xml:space="preserve">Same-day heatwave–precipitation events increased over 1985–2024 (Fig. 2a). The continental rate averaged 0.076 days per PSU per year and increased by 0.030 days per PSU per year per decade (95% CI 0.014–0.056). The strongest increases occurred in Central (+0.054 per decade) and Eastern Africa (+0.037), particularly in the Democratic Republic of the Congo (+0.096), Burundi (+0.066), Madagascar (+0.066) and Rwanda (+0.064) (Supplementary Table 1), whereas changes were small in Western (+0.016) and Southern Africa (+0.005, not significant), where extreme-precipitation days are scarce and, in the south, rarely coincide with heat. Decadal maps show a progressive expansion from isolated clusters in 1985–1994 to widespread high-density areas by 2015–2024, particularly across Madagascar, the East African coast and the Great Lakes (Fig. 3a). This increase largely follows the rise in heatwave frequency: the share of heatwaves containing a co-occurrence day increased only modestly (+0.23 percentage points per decade).</w:t>
      </w:r>
    </w:p>
    <w:p>
      <w:pPr>
        <w:spacing w:after="160"/>
        <w:jc w:val="both"/>
      </w:pPr>
      <w:r>
        <w:t xml:space="preserve">In contrast, the after-to-before precipitation ratio shows no significant trend at the continental scale (−0.07 per decade, 95% CI −0.18 to 0.05) or in any sub-region (Fig. 2b). The numbers of EPEs both before and after heatwaves rose with the number of heatwaves (Extended Data Fig. 2), while their ratio remained above unity in every decade and region (Figs. 3b and 4c).</w:t>
      </w:r>
    </w:p>
    <w:p>
      <w:pPr>
        <w:spacing w:after="160"/>
        <w:jc w:val="both"/>
      </w:pPr>
      <w:r>
        <w:t xml:space="preserve">The proportion of heatwaves preceded by drought increased continent-wide by 2.8 percentage points per decade (95% CI 1.2–4.4; Fig. 2c), most strongly in Southern Africa (+8.9), followed by Western (+3.8) and Central Africa (+2.8), whereas the trend is not significant in Eastern Africa (+1.2). Decadal maps show drought–heat coupling expanding to large parts of the Sahel and southern Africa by 2015–2024 (Fig. 3c). This increase is not found with the precipitation-only 3-month Standardized Precipitation Index (SPI-3; −0.9 percentage points per decade, not significant; Extended Data Fig. 6), indicating that it is driven mainly by rising evaporative demand, estimated here from temperature, rather than by declining rainfall.</w:t>
      </w:r>
    </w:p>
    <w:p>
      <w:pPr>
        <w:pStyle w:val="Heading2"/>
      </w:pPr>
      <w:r>
        <w:t xml:space="preserve">Extreme precipitation before and after heatwaves</w:t>
      </w:r>
    </w:p>
    <w:p>
      <w:pPr>
        <w:spacing w:after="160"/>
        <w:jc w:val="both"/>
      </w:pPr>
      <w:r>
        <w:t xml:space="preserve">Continent-wide, 2.37 million EPEs occurred within 30 days after a heatwave and 1.64 million within 30 days before, an after-to-before ratio of 1.44 (Fig. 4). This asymmetry is not a product of the rainy-season calendar alone: when each heatwave was moved to the same time of year in other years (1,000 permutations; Methods), the ratio was 1.01 (95% envelope 1.005–1.023), so that the observed ratio is 1.42 times its seasonal expectation (Extended Data Fig. 1a,d). The excess was found in every sub-region (×1.21 in Western, ×1.60 in Eastern, ×1.20 in Central and ×2.21 in Southern Africa) and every season of heatwave onset (Extended Data Fig. 1c; Supplementary Table 4). It arises mainly from a deficit of extreme precipitation before heatwaves: compared with the same season in other years, heatwaves were preceded by 37% fewer EPEs (0.63 of the null median), whereas EPEs after heatwaves were only 10% fewer (0.90) (Extended Data Fig. 1e). The deficit before heatwaves was strongest in Southern Africa (0.42).</w:t>
      </w:r>
    </w:p>
    <w:p>
      <w:pPr>
        <w:spacing w:after="160"/>
        <w:jc w:val="both"/>
      </w:pPr>
      <w:r>
        <w:t xml:space="preserve">The asymmetry is strongest in southern and south-eastern Africa (Namibia 2.61, Zimbabwe 2.60, Eswatini 2.23, South Africa 2.14), where rainfall is concentrated in a single summer season and heatwaves tend to occur at the end of the dry season, and weaker in humid regions where background moisture supports EPEs both before and after heatwaves, such as the Gulf of Guinea coast and Cameroon (1.05–1.11). It holds in 33 of the 34 countries, Guinea (0.93) being the sole exception (Fig. 4a; Supplementary Table 1).</w:t>
      </w:r>
    </w:p>
    <w:p>
      <w:pPr>
        <w:spacing w:after="160"/>
        <w:jc w:val="both"/>
      </w:pPr>
      <w:r>
        <w:t xml:space="preserve">Extreme precipitation is most likely on the first day after a heatwave ends and remains elevated during the following two weeks, in all four decades (Fig. 4b). The asymmetry follows the rainfall seasons (Extended Data Fig. 3): in Western Africa the ratio reaches 8.3 for heatwaves starting in February and 6.3 in May, before the monsoon, but 0.1–0.5 for heatwaves starting from September to December, after the rains; in Southern Africa it reaches 11 in September and 5.5 in October, before the rainy season. The ratio decreased slightly after the first decade (continental 1.7 in 1985–1994, 1.4–1.5 thereafter), Southern Africa keeping the highest (2.5 to 2.0) and Western and Central Africa the lowest values (1.4 to 1.2), but it remained above unity in every region and decade (Fig. 4c). Windows from ±7 to ±60 days give the same pattern (ratio 1.73 to 1.33; Extended Data Fig. 5a,b). Rainfall can terminate a heatwave, and 7.9% of post-heatwave EPEs fall on the first day after its end; excluding EPEs within 1 to 5 days of the heatwave boundaries reduces the ratio only to 1.35–1.38 (Supplementary Table 5).</w:t>
      </w:r>
    </w:p>
    <w:p>
      <w:pPr>
        <w:pStyle w:val="Heading2"/>
      </w:pPr>
      <w:r>
        <w:t xml:space="preserve">Drought before heatwaves</w:t>
      </w:r>
    </w:p>
    <w:p>
      <w:pPr>
        <w:spacing w:after="160"/>
        <w:jc w:val="both"/>
      </w:pPr>
      <w:r>
        <w:t xml:space="preserve">Heatwaves that follow drought last longer in all regions (Fig. 5a): 4.88 versus 4.57 days on average (+7%), with the largest prolongation in Southern Africa (+0.9 days, +20%) and the smallest in Western Africa (+0.1 days, +3%), and the extension increases with drought severity (+5% for SPEI-3 &lt; −0.5 to +12% for SPEI-3 &lt; −2; Extended Data Fig. 5d). They are also hotter (Fig. 5b): peak daily maximum temperature 33.6 versus 32.4 °C (+1.2 °C), +2.7 °C in Southern, +1.5 °C in Western, +0.9 °C in Eastern and +0.3 °C in Central Africa. Because SPEI depends on temperature through evapotranspiration, part of this difference may reflect the persistence of warm conditions from the preceding month.</w:t>
      </w:r>
    </w:p>
    <w:p>
      <w:pPr>
        <w:spacing w:after="160"/>
        <w:jc w:val="both"/>
      </w:pPr>
      <w:r>
        <w:t xml:space="preserve">The proportion of heatwaves preceded by drought was 29.1% in 1985–1994, 23.3% in 1995–2004, 28.1% in 2005–2014 and 32.4% in 2015–2024, reaching 57.5% in Southern Africa in the last decade (Fig. 5c). Part of these values reflects local drought frequency, which is itself higher than nominal (19.5% of all months over 1985–2024 had SPEI-3 &lt; −1, against about 16% for a standardized index), mainly after the end of the calibration period in 2014 (Extended Data Fig. 7). Compared with the drought frequency expected for the same cluster, calendar month and decade (23.5%), heatwaves were preceded by drought 1.26 times more often (Extended Data Fig. 8; Supplementary Table 6). This heatwave-specific excess was also found with the precipitation-only SPI-3 (19.3% observed versus 15.9% expected, ×1.21). It reflects a genuine rainfall deficit before heatwaves in Southern (SPI-3 ×1.42) and Eastern Africa (×1.33), whereas in Western and Central Africa it mainly reflects evaporative demand (SPEI-3 ×1.18, SPI-3 ×1.07–1.11).</w:t>
      </w:r>
    </w:p>
    <w:p>
      <w:pPr>
        <w:pStyle w:val="Heading2"/>
      </w:pPr>
      <w:r>
        <w:t xml:space="preserve">Compound-hazard regimes</w:t>
      </w:r>
    </w:p>
    <w:p>
      <w:pPr>
        <w:spacing w:after="160"/>
        <w:jc w:val="both"/>
      </w:pPr>
      <w:r>
        <w:t xml:space="preserve">Classifying PSUs by the event types that are locally prominent (above the upper quartile of each metric; Methods) shows that most locations are exposed to at most one prominent type (Fig. 6). Of the 53,370 classifiable locations, 44.0% had no prominent type, 15.2% only same-day heat–precipitation events, 14.6% only post-heatwave precipitation excess and 13.9% only drought–heat coupling (Fig. 6a). Drought–heat coupling combined with post-heatwave precipitation excess concerned 9.0% of locations, other combinations 0.2–1.8%. Drought–heat coupling and post-heatwave precipitation excess were prominent together 1.47 times more often than expected if independent, consistent with heatwaves at the end of the dry season, just before the rains, whereas same-day heat–precipitation events rarely coincided with either (0.29 and 0.43 times the expected frequency).</w:t>
      </w:r>
    </w:p>
    <w:p>
      <w:pPr>
        <w:spacing w:after="160"/>
        <w:jc w:val="both"/>
      </w:pPr>
      <w:r>
        <w:t xml:space="preserve">Heat–precipitation regimes dominate in humid regions (Madagascar, the Gulf of Guinea coast, the Great Lakes), whereas drought–heat regimes and their combination with post-heatwave precipitation excess dominate in Southern Africa and the western Sahel (Fig. 6b). </w:t>
      </w:r>
      <w:r>
        <w:rPr>
          <w:b/>
          <w:bCs/>
        </w:rPr>
        <w:t xml:space="preserve">[Check against Fig. 6b: description of Eastern Africa.]</w:t>
      </w:r>
      <w:r>
        <w:t xml:space="preserve"> Between 1985–1994 and 2015–2024, regimes dominated by heat–precipitation co-occurrence expanded from 3.6% to 30.0% of classifiable locations, whereas post-heatwave precipitation excess alone decreased from 26.0% to 7.7% (Fig. 6c–e). At individual locations, however, the regime was unchanged in only 18.3% of the 18,564 locations classifiable in both decades (14.5% expected by chance), so these changes describe a net redistribution rather than stable local trajectories (Fig. 6f). The same patterns were found with the upper tercile as threshold (Extended Data Fig. 9).</w:t>
      </w:r>
    </w:p>
    <w:p>
      <w:pPr>
        <w:pStyle w:val="Heading2"/>
      </w:pPr>
      <w:r>
        <w:t xml:space="preserve">Robustness to the heatwave definition</w:t>
      </w:r>
    </w:p>
    <w:p>
      <w:pPr>
        <w:spacing w:after="160"/>
        <w:jc w:val="both"/>
      </w:pPr>
      <w:r>
        <w:t xml:space="preserve">The main results were reproduced with a single annual heatwave threshold (Extended Data Fig. 10; Supplementary Figs. 1–3). Heatwaves then concentrate in the hot season, which raises the after-to-before ratio (3.11) but also its seasonal expectation (1.84); the observed ratio still exceeds this expectation (×1.69), and the deficit of extreme precipitation before heatwaves is unchanged (0.63 of the null median).</w:t>
      </w:r>
    </w:p>
    <w:p>
      <w:pPr>
        <w:pStyle w:val="Heading1"/>
      </w:pPr>
      <w:r>
        <w:t xml:space="preserve">Discussion</w:t>
      </w:r>
    </w:p>
    <w:p>
      <w:pPr>
        <w:spacing w:after="160"/>
        <w:jc w:val="both"/>
      </w:pPr>
      <w:r>
        <w:t xml:space="preserve">This study provides, to our knowledge, the first continental assessment of several compound-hazard typologies for sub-Saharan Africa, drawing on four decades of data at 54,615 georeferenced DHS locations in 34 countries. Three findings emerge. First, compound extremes are becoming more frequent across all climate regimes, although their frequency and type are strongly shaped by background moisture; same-day heat–precipitation extremes nonetheless remain about three times rarer than expected by chance. Second, extreme precipitation is more frequent after heatwaves than before them, beyond what the rainfall seasons produce, in nearly all countries and decades, and this asymmetry arises mainly from unusually dry conditions before heatwaves. Third, heatwaves are preceded by drought more often than local drought frequency implies, and such heatwaves last longer and are hotter; the share of heatwaves beginning under drought has increased, mostly because evaporative demand has increased.</w:t>
      </w:r>
    </w:p>
    <w:p>
      <w:pPr>
        <w:spacing w:after="160"/>
        <w:jc w:val="both"/>
      </w:pPr>
      <w:r>
        <w:t xml:space="preserve">The increase in drought-associated heatwaves agrees with recent African assessments. Compound drought–heatwave events have increased across Africa since the 2000s, most strongly in Eastern and Southern Africa</w:t>
      </w:r>
      <w:r>
        <w:rPr>
          <w:vertAlign w:val="superscript"/>
        </w:rPr>
        <w:t xml:space="preserve">1</w:t>
      </w:r>
      <w:r>
        <w:t xml:space="preserve">, heat–drought coupling has strengthened over the Sahel and Southern Africa</w:t>
      </w:r>
      <w:r>
        <w:rPr>
          <w:vertAlign w:val="superscript"/>
        </w:rPr>
        <w:t xml:space="preserve">2</w:t>
      </w:r>
      <w:r>
        <w:t xml:space="preserve">, and compound hot–dry extremes have lengthened or become more frequent in the Horn of Africa</w:t>
      </w:r>
      <w:r>
        <w:rPr>
          <w:vertAlign w:val="superscript"/>
        </w:rPr>
        <w:t xml:space="preserve">3</w:t>
      </w:r>
      <w:r>
        <w:t xml:space="preserve">, East Africa</w:t>
      </w:r>
      <w:r>
        <w:rPr>
          <w:vertAlign w:val="superscript"/>
        </w:rPr>
        <w:t xml:space="preserve">4</w:t>
      </w:r>
      <w:r>
        <w:t xml:space="preserve">, the Sahel</w:t>
      </w:r>
      <w:r>
        <w:rPr>
          <w:vertAlign w:val="superscript"/>
        </w:rPr>
        <w:t xml:space="preserve">5</w:t>
      </w:r>
      <w:r>
        <w:t xml:space="preserve"> and Senegal</w:t>
      </w:r>
      <w:r>
        <w:rPr>
          <w:vertAlign w:val="superscript"/>
        </w:rPr>
        <w:t xml:space="preserve">6</w:t>
      </w:r>
      <w:r>
        <w:t xml:space="preserve">. We confirm the strong increase in Southern Africa but not in Eastern Africa, where the proportion of heatwaves preceded by drought did not change significantly. This difference partly reflects the metric: counts of compound days rise with heatwave frequency, whereas we measure the share of heatwaves that follow drought. Moreover, the increase disappears with the precipitation-only SPI, which suggests that trends based on temperature-dependent drought indices partly reflect rising evaporative demand. The heatwave-specific excess itself (×1.26) is consistent with land–atmosphere feedbacks, in which soil-moisture depletion suppresses evaporative cooling, shifts the surface energy balance towards sensible heating and prolongs heat</w:t>
      </w:r>
      <w:r>
        <w:rPr>
          <w:vertAlign w:val="superscript"/>
        </w:rPr>
        <w:t xml:space="preserve">7,8</w:t>
      </w:r>
      <w:r>
        <w:t xml:space="preserve">. In Africa, this amplification operates downstream of ocean-driven circulation anomalies such as ENSO and the Indian Ocean Dipole, in recurrent hotspots that include the Sahel and southern Africa</w:t>
      </w:r>
      <w:r>
        <w:rPr>
          <w:vertAlign w:val="superscript"/>
        </w:rPr>
        <w:t xml:space="preserve">9</w:t>
      </w:r>
      <w:r>
        <w:t xml:space="preserve">. Our results are consistent with this process: heatwaves were preceded by a precipitation deficit more often than locally expected, most clearly in Southern and Eastern Africa, and heatwaves following drought lasted longer and were hotter. The excess does not, however, demonstrate a strengthening of this coupling over time.</w:t>
      </w:r>
    </w:p>
    <w:p>
      <w:pPr>
        <w:spacing w:after="160"/>
        <w:jc w:val="both"/>
      </w:pPr>
      <w:r>
        <w:t xml:space="preserve">Extreme precipitation following heatwaves has recently been identified as a compound hazard, with a global hotspot in Central Africa and an increase attributed to greenhouse-gas forcing</w:t>
      </w:r>
      <w:r>
        <w:rPr>
          <w:vertAlign w:val="superscript"/>
        </w:rPr>
        <w:t xml:space="preserve">10</w:t>
      </w:r>
      <w:r>
        <w:t xml:space="preserve">. That analysis, like most, counts precipitation extremes after heatwaves only. Our results show why the comparison with the preceding weeks and with the same season in other years matters: extreme precipitation is most frequent on the day after a heatwave ends, yet it is not enhanced relative to seasonal expectations (0.90 of the null median), and the asymmetry arises from a deficit before heatwaves (0.63). The Clausius–Clapeyron increase in atmospheric moisture with temperature therefore cannot by itself explain the pattern. It is more consistent with heatwaves developing during anomalously dry spells, under the anticyclonic circulation, subsidence and moisture divergence associated with compound heat–drought events across Africa</w:t>
      </w:r>
      <w:r>
        <w:rPr>
          <w:vertAlign w:val="superscript"/>
        </w:rPr>
        <w:t xml:space="preserve">2</w:t>
      </w:r>
      <w:r>
        <w:t xml:space="preserve">, with rainfall resuming afterwards, including rainfall that ends the heatwave. Because our null model moves heatwaves between years, it controls for location and seasonality but not for interannual variability, so the relative roles of local soil-moisture feedbacks and large-scale drivers remain to be determined.</w:t>
      </w:r>
    </w:p>
    <w:p>
      <w:pPr>
        <w:spacing w:after="160"/>
        <w:jc w:val="both"/>
      </w:pPr>
      <w:r>
        <w:t xml:space="preserve">Same-day heat–precipitation extremes increased mainly in humid regions, in line with the increase of hot–wet extremes reported in Tanzania</w:t>
      </w:r>
      <w:r>
        <w:rPr>
          <w:vertAlign w:val="superscript"/>
        </w:rPr>
        <w:t xml:space="preserve">11</w:t>
      </w:r>
      <w:r>
        <w:t xml:space="preserve">. At daily resolution, however, heat and extreme rainfall co-occur less often than chance</w:t>
      </w:r>
      <w:r>
        <w:rPr>
          <w:vertAlign w:val="superscript"/>
        </w:rPr>
        <w:t xml:space="preserve">12</w:t>
      </w:r>
      <w:r>
        <w:t xml:space="preserve">, so their increase largely follows the increase in heatwaves rather than a closer coupling of the two hazards.</w:t>
      </w:r>
    </w:p>
    <w:p>
      <w:pPr>
        <w:spacing w:after="160"/>
        <w:jc w:val="both"/>
      </w:pPr>
      <w:r>
        <w:t xml:space="preserve">The regional differences matter for climate-risk assessment. Same-day heat–precipitation extremes concentrate in the humid tropics, whereas sequences of drought, heat and subsequent rainfall characterize Southern Africa and the Sahel, where drought–heat coupling and post-heatwave precipitation excess are prominent together more often than expected. Climate risks therefore cannot be understood by considering hazards in isolation, and assessments calibrated on European or North American compound-event typologies may overlook combinations that matter in Africa. Most African studies cover a single region or a single combination of hazards</w:t>
      </w:r>
      <w:r>
        <w:rPr>
          <w:vertAlign w:val="superscript"/>
        </w:rPr>
        <w:t xml:space="preserve">1–6,11</w:t>
      </w:r>
      <w:r>
        <w:t xml:space="preserve">; we examine three typologies jointly at daily resolution across 34 countries and test them against chance and seasonality. Using DHS locations as the spatial grid also makes these results directly usable for research on societal impacts: these are the clusters where child health, nutrition and survival are monitored, whereas population exposure is usually estimated from gridded population densities</w:t>
      </w:r>
      <w:r>
        <w:rPr>
          <w:vertAlign w:val="superscript"/>
        </w:rPr>
        <w:t xml:space="preserve">4</w:t>
      </w:r>
      <w:r>
        <w:t xml:space="preserve">.</w:t>
      </w:r>
    </w:p>
    <w:p>
      <w:pPr>
        <w:spacing w:after="160"/>
        <w:jc w:val="both"/>
      </w:pPr>
      <w:r>
        <w:t xml:space="preserve">Several limitations should be considered. ERA5 temperatures</w:t>
      </w:r>
      <w:r>
        <w:rPr>
          <w:vertAlign w:val="superscript"/>
        </w:rPr>
        <w:t xml:space="preserve">13</w:t>
      </w:r>
      <w:r>
        <w:t xml:space="preserve"> may underestimate local extremes where observations are sparse, CHIRPS</w:t>
      </w:r>
      <w:r>
        <w:rPr>
          <w:vertAlign w:val="superscript"/>
        </w:rPr>
        <w:t xml:space="preserve">14</w:t>
      </w:r>
      <w:r>
        <w:t xml:space="preserve"> can miss warm-rain events, and the two products use different daily conventions, so a one-day offset cannot be excluded. Our primary heatwave definition targets persistent heat relative to the time of year; results with a single annual threshold are reported for comparison. Thresholds were estimated on 1985–2014 without in-base correction, which slightly understates event frequency within that period. SPEI-3 may miss flash droughts, and its temperature-based (Hargreaves) evapotranspiration and calibration on 1985–2014 make the post-2014 increase in drought frequency partly a reflection of warming, which is why SPI-3 and local drought frequencies were used as comparisons. Clusters sharing an ERA5 cell share identical temperature series, which uncertainty estimates and the null model take into account. Finally, the displacement of DHS coordinates (up to 5 km in rural and 2 km in urban areas)</w:t>
      </w:r>
      <w:r>
        <w:rPr>
          <w:vertAlign w:val="superscript"/>
        </w:rPr>
        <w:t xml:space="preserve">15</w:t>
      </w:r>
      <w:r>
        <w:t xml:space="preserve"> is small relative to the 0.25° ERA5 grid.</w:t>
      </w:r>
    </w:p>
    <w:p>
      <w:pPr>
        <w:spacing w:after="160"/>
        <w:jc w:val="both"/>
      </w:pPr>
      <w:r>
        <w:t xml:space="preserve">Overall, compound climate events in sub-Saharan Africa are increasing in frequency and spatial extent, with a net shift towards regimes dominated by heat–precipitation co-occurrence, while sequences of drought, heat and subsequent rainfall remain a persistent feature of the subtropics. Early-warning systems based on single-hazard thresholds are ill-equipped to anticipate these combinations; integrating compound-hazard indicators into existing frameworks is a feasible adaptation priority. This work provides an empirical basis for assessing the joint and sequential effects of heat, extreme precipitation and drought on child survival, nutrition and infectious disease, in the populations where compound risks are likely to have the greatest impact.</w:t>
      </w:r>
    </w:p>
    <w:p>
      <w:pPr>
        <w:pStyle w:val="Heading1"/>
        <w:pageBreakBefore/>
      </w:pPr>
      <w:r>
        <w:t xml:space="preserve">Methods</w:t>
      </w:r>
    </w:p>
    <w:p>
      <w:pPr>
        <w:spacing w:after="160"/>
        <w:jc w:val="both"/>
      </w:pPr>
      <w:r>
        <w:rPr>
          <w:b/>
          <w:bCs/>
        </w:rPr>
        <w:t xml:space="preserve">Study population.</w:t>
      </w:r>
      <w:r>
        <w:t xml:space="preserve"> We used the GPS coordinates of the DHS primary sampling units in 34 sub-Saharan African countries [list of surveys and years: Supplementary Table 2]. Records with missing coordinates, coordinates at (0°, 0°) or outside 35° S–25° N and 18° W–52° E were removed, and PSUs with identical coordinates across survey rounds were kept once. The final sample comprises 54,615 PSUs, grouped into the four United Nations M49 sub-regions: Western, Eastern, Middle (hereafter Central) and Southern Africa (Supplementary Table 1). DHS coordinates are randomly displaced by up to 2 km in urban and 5 km in rural clusters (10 km for 1% of rural clusters)</w:t>
      </w:r>
      <w:r>
        <w:rPr>
          <w:vertAlign w:val="superscript"/>
        </w:rPr>
        <w:t xml:space="preserve">15</w:t>
      </w:r>
      <w:r>
        <w:t xml:space="preserve">. Each PSU is treated as a sampled locality without demographic weighting.</w:t>
      </w:r>
    </w:p>
    <w:p>
      <w:pPr>
        <w:spacing w:after="160"/>
        <w:jc w:val="both"/>
      </w:pPr>
      <w:r>
        <w:rPr>
          <w:b/>
          <w:bCs/>
        </w:rPr>
        <w:t xml:space="preserve">Climate data.</w:t>
      </w:r>
      <w:r>
        <w:t xml:space="preserve"> Daily maximum and minimum 2-m air temperature (Tmax, Tmin) were taken from ERA5 at 0.25° resolution</w:t>
      </w:r>
      <w:r>
        <w:rPr>
          <w:vertAlign w:val="superscript"/>
        </w:rPr>
        <w:t xml:space="preserve">13</w:t>
      </w:r>
      <w:r>
        <w:t xml:space="preserve"> and daily precipitation from CHIRPS v2.0 at 0.05° resolution</w:t>
      </w:r>
      <w:r>
        <w:rPr>
          <w:vertAlign w:val="superscript"/>
        </w:rPr>
        <w:t xml:space="preserve">14</w:t>
      </w:r>
      <w:r>
        <w:t xml:space="preserve">, for 1985–2024. Each PSU was assigned the nearest cell of each product; matches farther than 20 km or to cells without valid data were rejected. ERA5 days follow UTC, whereas CHIRPS days follow the convention of its gauge inputs.</w:t>
      </w:r>
    </w:p>
    <w:p>
      <w:pPr>
        <w:spacing w:after="160"/>
        <w:jc w:val="both"/>
      </w:pPr>
      <w:r>
        <w:rPr>
          <w:b/>
          <w:bCs/>
        </w:rPr>
        <w:t xml:space="preserve">Eligibility.</w:t>
      </w:r>
      <w:r>
        <w:t xml:space="preserve"> All 54,615 PSUs had a valid ERA5 cell and 53,802 a valid CHIRPS cell. The extreme-precipitation threshold also required at least 100 wet days in the reference period, which excluded 20 further PSUs. Analyses involving precipitation extremes (Axes I and II, the likelihood multiplication factor and the null model) use 53,782 PSUs, and drought analyses (Axis III) use 53,802 PSUs. The PSUs fall into 10,713 distinct ERA5 cells (5.1 PSUs per cell on average); this pseudo-replication is accounted for in the uncertainty estimates and the null model.</w:t>
      </w:r>
    </w:p>
    <w:p>
      <w:pPr>
        <w:spacing w:after="160"/>
        <w:jc w:val="both"/>
      </w:pPr>
      <w:r>
        <w:rPr>
          <w:b/>
          <w:bCs/>
        </w:rPr>
        <w:t xml:space="preserve">Reference period.</w:t>
      </w:r>
      <w:r>
        <w:t xml:space="preserve"> Percentile thresholds and the calibration of the drought indices use 1985–2014 and were applied to all years without in-base correction, so exceedance frequencies inside the reference period are slightly biased low relative to 2015–2024</w:t>
      </w:r>
      <w:r>
        <w:rPr>
          <w:vertAlign w:val="superscript"/>
        </w:rPr>
        <w:t xml:space="preserve">16</w:t>
      </w:r>
      <w:r>
        <w:t xml:space="preserve">.</w:t>
      </w:r>
    </w:p>
    <w:p>
      <w:pPr>
        <w:spacing w:after="160"/>
        <w:jc w:val="both"/>
      </w:pPr>
      <w:r>
        <w:rPr>
          <w:b/>
          <w:bCs/>
        </w:rPr>
        <w:t xml:space="preserve">Heatwaves.</w:t>
      </w:r>
      <w:r>
        <w:t xml:space="preserve"> A heatwave is a run of at least three consecutive days with Tmax strictly above the PSU's 90th percentile threshold. In the primary analysis, the threshold is computed for each calendar day from reference-period values within a 31-day window centred on that day</w:t>
      </w:r>
      <w:r>
        <w:rPr>
          <w:vertAlign w:val="superscript"/>
        </w:rPr>
        <w:t xml:space="preserve">17</w:t>
      </w:r>
      <w:r>
        <w:t xml:space="preserve">, on a 366-position calendar in which 29 February contributes data only in leap years; heatwaves are therefore anomalies relative to the time of year. As a sensitivity analysis, a single annual 90th percentile was used for each PSU, so that heatwaves concentrate in the hot season. For each heatwave we recorded onset, end, duration and peak Tmax. In total, 9,608,094 heatwaves were detected with the calendar-day threshold and 10,743,161 with the annual threshold.</w:t>
      </w:r>
    </w:p>
    <w:p>
      <w:pPr>
        <w:spacing w:after="160"/>
        <w:jc w:val="both"/>
      </w:pPr>
      <w:r>
        <w:rPr>
          <w:b/>
          <w:bCs/>
        </w:rPr>
        <w:t xml:space="preserve">Extreme precipitation.</w:t>
      </w:r>
      <w:r>
        <w:t xml:space="preserve"> An EPE day is a day with precipitation strictly above the PSU's 95th percentile of wet-day (≥1 mm) precipitation in the reference period (12,787,839 EPE days in total).</w:t>
      </w:r>
    </w:p>
    <w:p>
      <w:pPr>
        <w:spacing w:after="160"/>
        <w:jc w:val="both"/>
      </w:pPr>
      <w:r>
        <w:rPr>
          <w:b/>
          <w:bCs/>
        </w:rPr>
        <w:t xml:space="preserve">Drought indices.</w:t>
      </w:r>
      <w:r>
        <w:t xml:space="preserve"> Drought was characterized with SPEI-3</w:t>
      </w:r>
      <w:r>
        <w:rPr>
          <w:vertAlign w:val="superscript"/>
        </w:rPr>
        <w:t xml:space="preserve">18</w:t>
      </w:r>
      <w:r>
        <w:t xml:space="preserve">, computed from the monthly difference between precipitation and potential evapotranspiration (PET). PET was estimated with the Hargreaves–Samani equation</w:t>
      </w:r>
      <w:r>
        <w:rPr>
          <w:vertAlign w:val="superscript"/>
        </w:rPr>
        <w:t xml:space="preserve">19</w:t>
      </w:r>
      <w:r>
        <w:t xml:space="preserve"> from Tmax, Tmin and extraterrestrial radiation</w:t>
      </w:r>
      <w:r>
        <w:rPr>
          <w:vertAlign w:val="superscript"/>
        </w:rPr>
        <w:t xml:space="preserve">20</w:t>
      </w:r>
      <w:r>
        <w:t xml:space="preserve">, the only formulation compatible with the available variables. Months with fewer than 90% valid days were not used. A log-logistic distribution was fitted by maximum likelihood for each calendar month on 1985–2014 with xclim 0.61.1</w:t>
      </w:r>
      <w:r>
        <w:rPr>
          <w:vertAlign w:val="superscript"/>
        </w:rPr>
        <w:t xml:space="preserve">21</w:t>
      </w:r>
      <w:r>
        <w:t xml:space="preserve">, so that values for 2015–2024 are extrapolations beyond the calibration period. SPI-3</w:t>
      </w:r>
      <w:r>
        <w:rPr>
          <w:vertAlign w:val="superscript"/>
        </w:rPr>
        <w:t xml:space="preserve">22</w:t>
      </w:r>
      <w:r>
        <w:t xml:space="preserve"> (gamma distribution with a separate probability of zero totals) was computed in the same way as a precipitation-only comparison. Drought is defined as an index below −1. Every missing value was assigned to a documented cause, and an unexplained missing value stopped the computation.</w:t>
      </w:r>
    </w:p>
    <w:p>
      <w:pPr>
        <w:spacing w:after="160"/>
        <w:jc w:val="both"/>
      </w:pPr>
      <w:r>
        <w:rPr>
          <w:b/>
          <w:bCs/>
        </w:rPr>
        <w:t xml:space="preserve">Axis I: same-day co-occurrence.</w:t>
      </w:r>
      <w:r>
        <w:t xml:space="preserve"> A co-occurrence day is both a heatwave day and an EPE day at the same PSU. We report co-occurrence days per PSU (per year or over a period, zeros included) and the percentage of heatwaves containing at least one co-occurrence day. Whether heat and extreme rainfall co-occur more or less often than expected from their individual frequencies was measured with the likelihood multiplication factor (LMF)</w:t>
      </w:r>
      <w:r>
        <w:rPr>
          <w:vertAlign w:val="superscript"/>
        </w:rPr>
        <w:t xml:space="preserve">12</w:t>
      </w:r>
      <w:r>
        <w:t xml:space="preserve">:</w:t>
      </w:r>
    </w:p>
    <w:p>
      <w:pPr>
        <w:spacing w:after="120" w:before="120"/>
        <w:jc w:val="center"/>
      </w:pPr>
      <w:r>
        <w:rPr>
          <w:i/>
          <w:iCs/>
        </w:rPr>
        <w:t xml:space="preserve">LMF = N_joint / E[N_joint],     (1)</w:t>
      </w:r>
    </w:p>
    <w:p>
      <w:pPr>
        <w:spacing w:after="160"/>
        <w:jc w:val="both"/>
      </w:pPr>
      <w:r>
        <w:t xml:space="preserve">where N_joint is the observed number of co-occurrence days. Because both extremes have marked seasonal cycles, the expectation is conditioned on the day of the year d:</w:t>
      </w:r>
    </w:p>
    <w:p>
      <w:pPr>
        <w:spacing w:after="120" w:before="120"/>
        <w:jc w:val="center"/>
      </w:pPr>
      <w:r>
        <w:rPr>
          <w:i/>
          <w:iCs/>
        </w:rPr>
        <w:t xml:space="preserve">E[N_joint] = Σ_d N_hot(d) N_EPE(d) / N_valid(d),     (2)</w:t>
      </w:r>
    </w:p>
    <w:p>
      <w:pPr>
        <w:spacing w:after="160"/>
        <w:jc w:val="both"/>
      </w:pPr>
      <w:r>
        <w:t xml:space="preserve">with all counts computed on the same valid days. The LMF is pooled over PSUs (ratio of summed observed to summed expected counts), and its 95% CI was obtained from 1,000 bootstrap resamples of ERA5 cells, so that PSUs sharing a temperature series are resampled together. LMF &lt; 1 indicates fewer co-occurrences than expected under independence.</w:t>
      </w:r>
    </w:p>
    <w:p>
      <w:pPr>
        <w:spacing w:after="160"/>
        <w:jc w:val="both"/>
      </w:pPr>
      <w:r>
        <w:rPr>
          <w:b/>
          <w:bCs/>
        </w:rPr>
        <w:t xml:space="preserve">Axis II: extreme precipitation before and after heatwaves.</w:t>
      </w:r>
      <w:r>
        <w:t xml:space="preserve"> For each heatwave we considered the 30 days before onset and the 30 days after the end. Heatwaves whose window extended beyond the study period were excluded, leaving 9,361,759 heatwaves. Each EPE within the window of at least one heatwave of the same PSU was attributed to the nearest heatwave only (distance to onset for an EPE before it, to its end for an EPE after it); EPEs during a heatwave belong to Axis I. The primary metric is the after/before count ratio</w:t>
      </w:r>
    </w:p>
    <w:p>
      <w:pPr>
        <w:spacing w:after="120" w:before="120"/>
        <w:jc w:val="center"/>
      </w:pPr>
      <w:r>
        <w:rPr>
          <w:i/>
          <w:iCs/>
        </w:rPr>
        <w:t xml:space="preserve">R = N_after / N_before,     (3)</w:t>
      </w:r>
    </w:p>
    <w:p>
      <w:pPr>
        <w:spacing w:after="160"/>
        <w:jc w:val="both"/>
      </w:pPr>
      <w:r>
        <w:t xml:space="preserve">computed as a ratio of sums over all heatwaves of a group (continent, region, country, decade); R &gt; 1 means that extreme precipitation is more frequent after heatwaves than before. As a secondary measure based on event coincidence analysis</w:t>
      </w:r>
      <w:r>
        <w:rPr>
          <w:vertAlign w:val="superscript"/>
        </w:rPr>
        <w:t xml:space="preserve">23</w:t>
      </w:r>
      <w:r>
        <w:t xml:space="preserve">, we computed the difference between the shares of heatwaves followed and preceded by at least one EPE.</w:t>
      </w:r>
    </w:p>
    <w:p>
      <w:pPr>
        <w:spacing w:after="160"/>
        <w:jc w:val="both"/>
      </w:pPr>
      <w:r>
        <w:rPr>
          <w:b/>
          <w:bCs/>
        </w:rPr>
        <w:t xml:space="preserve">Seasonally constrained null model.</w:t>
      </w:r>
      <w:r>
        <w:t xml:space="preserve"> Because heat and rainfall both follow seasonal cycles, an after/before asymmetry can arise from the timing of heatwaves relative to the rainy season alone. In each of 1,000 permutations, every heatwave kept its PSU and duration, and its onset was moved to the same time of year in another year, with a random shift of up to ±15 days, provided that the ±30-day window stayed within the study period and did not overlap the observed heatwave. PSUs in the same ERA5 cell have identical heatwaves, so one draw was made per distinct heatwave (1,830,045 units) and applied to all PSUs of that cell. Surrogate heatwaves were processed with the same attribution procedure as observed ones. We report the observed ratio, the median and 2.5–97.5 percentile envelope of the null, and the ratio of the observed value to the null median, for the continent, each region and each season of onset. The null also decomposes the asymmetry into a deficit of EPEs before heatwaves (observed / null median of N_before &lt; 1) and an excess after them (observed / null median of N_after &gt; 1). The analysis is descriptive; permutation p-values were computed but are not used for inference. Because the null moves heatwaves between years, it controls for location and seasonality but not for interannual variability.</w:t>
      </w:r>
    </w:p>
    <w:p>
      <w:pPr>
        <w:spacing w:after="160"/>
        <w:jc w:val="both"/>
      </w:pPr>
      <w:r>
        <w:rPr>
          <w:b/>
          <w:bCs/>
        </w:rPr>
        <w:t xml:space="preserve">Sensitivity of Axis II.</w:t>
      </w:r>
      <w:r>
        <w:t xml:space="preserve"> We repeated the calculation with windows of 7, 15, 45 and 60 days and after excluding EPEs within 1, 2, 3 or 5 days of the heatwave boundaries, to assess the contribution of rainfall that terminates a heatwave.</w:t>
      </w:r>
    </w:p>
    <w:p>
      <w:pPr>
        <w:spacing w:after="160"/>
        <w:jc w:val="both"/>
      </w:pPr>
      <w:r>
        <w:rPr>
          <w:b/>
          <w:bCs/>
        </w:rPr>
        <w:t xml:space="preserve">Axis III: heatwaves preceded by drought.</w:t>
      </w:r>
      <w:r>
        <w:t xml:space="preserve"> For each heatwave, SPEI-3 was taken in the calendar month preceding the onset month (lag 1), which avoids the onset month, whose PET is inflated by the heatwave itself. The primary metric is the percentage of heatwaves preceded by drought among heatwaves with an available index (99.7%). Sensitivity analyses used the onset month (lag 0), SPI-3 and thresholds of −0.5, −1.5 and −2, and we compared the duration and peak Tmax of heatwaves with and without antecedent drought. Because drought frequency differs between places and seasons and, for SPEI, increases after the calibration period, the observed percentage was compared with its local expectation, the frequency of drought at the same PSU in the same calendar month and decade:</w:t>
      </w:r>
    </w:p>
    <w:p>
      <w:pPr>
        <w:spacing w:after="160"/>
        <w:jc w:val="both"/>
      </w:pPr>
      <w:r>
        <w:t xml:space="preserve">ratio_local = (share of heatwaves preceded by drought) / (mean expected probability over the same heatwaves).     (4)</w:t>
      </w:r>
    </w:p>
    <w:p>
      <w:pPr>
        <w:spacing w:after="160"/>
        <w:jc w:val="both"/>
      </w:pPr>
      <w:r>
        <w:t xml:space="preserve">A ratio above 1 indicates that heatwaves are preceded by drought more often than local conditions alone imply. Comparing SPEI-3 and SPI-3 separates a precipitation deficit (captured by both) from increased evaporative demand (captured by SPEI-3 only).</w:t>
      </w:r>
    </w:p>
    <w:p>
      <w:pPr>
        <w:spacing w:after="160"/>
        <w:jc w:val="both"/>
      </w:pPr>
      <w:r>
        <w:rPr>
          <w:b/>
          <w:bCs/>
        </w:rPr>
        <w:t xml:space="preserve">Aggregation.</w:t>
      </w:r>
      <w:r>
        <w:t xml:space="preserve"> Metrics were computed per PSU and aggregated by country, region, continent, year and decade (1985–1994, 1995–2004, 2005–2014, 2015–2024). Levels are event-pooled (ratio of sums for R; share of all heatwaves for percentages). Annual series use the yearly ratio of sums for R, the yearly mean over PSUs (zeros included) for co-occurrence days, and the yearly mean of per-PSU values for drought percentages. Heatwaves and Axis II quantities are dated by heatwave onset.</w:t>
      </w:r>
    </w:p>
    <w:p>
      <w:pPr>
        <w:spacing w:after="160"/>
        <w:jc w:val="both"/>
      </w:pPr>
      <w:r>
        <w:rPr>
          <w:b/>
          <w:bCs/>
        </w:rPr>
        <w:t xml:space="preserve">Temporal trends.</w:t>
      </w:r>
      <w:r>
        <w:t xml:space="preserve"> Trends of annual series were estimated with the Theil–Sen slope</w:t>
      </w:r>
      <w:r>
        <w:rPr>
          <w:vertAlign w:val="superscript"/>
        </w:rPr>
        <w:t xml:space="preserve">24</w:t>
      </w:r>
      <w:r>
        <w:t xml:space="preserve"> and expressed per decade, tested with the Mann–Kendall test with Hamed–Rao correction for autocorrelation</w:t>
      </w:r>
      <w:r>
        <w:rPr>
          <w:vertAlign w:val="superscript"/>
        </w:rPr>
        <w:t xml:space="preserve">25</w:t>
      </w:r>
      <w:r>
        <w:t xml:space="preserve">, and given a 95% CI from 1,000 moving-block bootstrap resamples with 5-year blocks</w:t>
      </w:r>
      <w:r>
        <w:rPr>
          <w:vertAlign w:val="superscript"/>
        </w:rPr>
        <w:t xml:space="preserve">26</w:t>
      </w:r>
      <w:r>
        <w:t xml:space="preserve">. Country-level tests were corrected with the Benjamini–Hochberg false discovery rate</w:t>
      </w:r>
      <w:r>
        <w:rPr>
          <w:vertAlign w:val="superscript"/>
        </w:rPr>
        <w:t xml:space="preserve">27</w:t>
      </w:r>
      <w:r>
        <w:t xml:space="preserve">. A trend is called significant when the test (P &lt; 0.05) and the interval agree.</w:t>
      </w:r>
    </w:p>
    <w:p>
      <w:pPr>
        <w:spacing w:after="160"/>
        <w:jc w:val="both"/>
      </w:pPr>
      <w:r>
        <w:rPr>
          <w:b/>
          <w:bCs/>
        </w:rPr>
        <w:t xml:space="preserve">Compound-hazard regimes.</w:t>
      </w:r>
      <w:r>
        <w:t xml:space="preserve"> Each PSU was classified by which axes are prominent: co-occurrence days per year (Axis I), R (Axis II) and the percentage of heatwaves preceded by drought (Axis III). An axis is prominent when its value is strictly above the 75th percentile of PSUs classifiable on all three axes over 1985–2024, which yields eight mutually exclusive regimes; the upper tercile was used as a sensitivity threshold. A PSU was classifiable if at least 10 EPEs were attributed to its heatwaves and at least 10 of its heatwaves had an antecedent SPEI-3 value; these minimum supports were fixed before thresholds or classes were examined and retain 99.2% (Axis II) and 100% (Axis III) of eligible PSUs (53,370 classifiable on all three axes). Co-prominence of two axes was compared with the product of their individual frequencies. Decadal maps apply the 1985–2024 thresholds to each decade; transitions between 1985–1994 and 2015–2024 use the 18,564 PSUs classifiable in both decades, and the share of PSUs keeping the same regime was compared with its chance expectation.</w:t>
      </w:r>
    </w:p>
    <w:p>
      <w:pPr>
        <w:spacing w:after="160"/>
        <w:jc w:val="both"/>
      </w:pPr>
      <w:r>
        <w:rPr>
          <w:b/>
          <w:bCs/>
        </w:rPr>
        <w:t xml:space="preserve">Threshold sensitivity.</w:t>
      </w:r>
      <w:r>
        <w:t xml:space="preserve"> The full analysis was repeated with the annual heatwave threshold (Supplementary Information).</w:t>
      </w:r>
    </w:p>
    <w:p>
      <w:pPr>
        <w:spacing w:after="160"/>
        <w:jc w:val="both"/>
      </w:pPr>
      <w:r>
        <w:rPr>
          <w:b/>
          <w:bCs/>
        </w:rPr>
        <w:t xml:space="preserve">Statistics and reproducibility.</w:t>
      </w:r>
      <w:r>
        <w:t xml:space="preserve"> Intervals are 95% intervals: cluster-bootstrap CIs for the LMF, 2.5–97.5 percentile envelopes for the null model and moving-block bootstrap CIs for trends. Computations used Python 3.11.7 with NumPy 1.26.4, pandas 2.3.3, xarray 2025.9.1, SciPy 1.16.2, xclim 0.61.1 and statsmodels 0.14.0; maps were drawn with Cartopy 0.25.0. Random draws used a fixed seed (42). A run manifest records the configuration, package versions, input files, eligibility exclusions, fitting methods and internal consistency checks.</w:t>
      </w:r>
    </w:p>
    <w:p>
      <w:pPr>
        <w:spacing w:after="160"/>
        <w:jc w:val="both"/>
      </w:pPr>
      <w:r>
        <w:rPr>
          <w:b/>
          <w:bCs/>
        </w:rPr>
        <w:t xml:space="preserve">Data availability.</w:t>
      </w:r>
      <w:r>
        <w:t xml:space="preserve"> ERA5 data are available from the Copernicus Climate Change Service Climate Data Store [URL]. CHIRPS v2.0 data are available from the Climate Hazards Center, University of California Santa Barbara [URL]. DHS cluster coordinates are available from the DHS Program upon approval of a data request [URL] and cannot be redistributed. Aggregated outputs and the data underlying the figures are available at [repository / DOI].</w:t>
      </w:r>
    </w:p>
    <w:p>
      <w:pPr>
        <w:spacing w:after="160"/>
        <w:jc w:val="both"/>
      </w:pPr>
      <w:r>
        <w:rPr>
          <w:b/>
          <w:bCs/>
        </w:rPr>
        <w:t xml:space="preserve">Code availability.</w:t>
      </w:r>
      <w:r>
        <w:t xml:space="preserve"> The analysis code is available at [repository / DOI].</w:t>
      </w:r>
    </w:p>
    <w:p>
      <w:pPr>
        <w:pStyle w:val="Heading1"/>
        <w:pageBreakBefore/>
      </w:pPr>
      <w:r>
        <w:t xml:space="preserve">Figure legends</w:t>
      </w:r>
    </w:p>
    <w:p>
      <w:pPr>
        <w:spacing w:after="160"/>
        <w:jc w:val="both"/>
      </w:pPr>
      <w:r>
        <w:rPr>
          <w:b/>
          <w:bCs/>
        </w:rPr>
        <w:t xml:space="preserve">Fig. 1 | Spatial distribution of compound climate events across sub-Saharan Africa, 1985–2024.</w:t>
      </w:r>
      <w:r>
        <w:t xml:space="preserve"> </w:t>
      </w:r>
      <w:r>
        <w:rPr>
          <w:b/>
          <w:bCs/>
        </w:rPr>
        <w:t xml:space="preserve">a</w:t>
      </w:r>
      <w:r>
        <w:t xml:space="preserve">, Number of same-day heatwave–extreme-precipitation co-occurrence days per cluster (clusters with none in light grey). </w:t>
      </w:r>
      <w:r>
        <w:rPr>
          <w:b/>
          <w:bCs/>
        </w:rPr>
        <w:t xml:space="preserve">b</w:t>
      </w:r>
      <w:r>
        <w:t xml:space="preserve">, Ratio of extreme-precipitation events occurring after versus before heatwaves (30-day windows; values above 8 shown as 8; clusters without extreme precipitation before heatwaves not shown). </w:t>
      </w:r>
      <w:r>
        <w:rPr>
          <w:b/>
          <w:bCs/>
        </w:rPr>
        <w:t xml:space="preserve">c</w:t>
      </w:r>
      <w:r>
        <w:t xml:space="preserve">, Percentage of heatwaves preceded by drought (SPEI-3 &lt; −1 in the month before onset). Each point is one of the 54,615 DHS clusters in 34 countries; outlines show the four UN sub-regions. Data: ERA5 temperature, CHIRPS precipitation.</w:t>
      </w:r>
    </w:p>
    <w:p>
      <w:pPr>
        <w:spacing w:after="160"/>
        <w:jc w:val="both"/>
      </w:pPr>
      <w:r>
        <w:rPr>
          <w:b/>
          <w:bCs/>
        </w:rPr>
        <w:t xml:space="preserve">Fig. 2 | Temporal trends in compound climate events, 1985–2024.</w:t>
      </w:r>
      <w:r>
        <w:t xml:space="preserve"> Columns, sub-Saharan Africa and the four UN sub-regions; rows, </w:t>
      </w:r>
      <w:r>
        <w:rPr>
          <w:b/>
          <w:bCs/>
        </w:rPr>
        <w:t xml:space="preserve">a</w:t>
      </w:r>
      <w:r>
        <w:t xml:space="preserve">, same-day heat–precipitation co-occurrence (days per cluster per year); </w:t>
      </w:r>
      <w:r>
        <w:rPr>
          <w:b/>
          <w:bCs/>
        </w:rPr>
        <w:t xml:space="preserve">b</w:t>
      </w:r>
      <w:r>
        <w:t xml:space="preserve">, after-to-before ratio of extreme precipitation around heatwaves (annual ratio of totals); </w:t>
      </w:r>
      <w:r>
        <w:rPr>
          <w:b/>
          <w:bCs/>
        </w:rPr>
        <w:t xml:space="preserve">c</w:t>
      </w:r>
      <w:r>
        <w:t xml:space="preserve">, percentage of heatwaves preceded by drought. Points, annual values; thick curves, smoothed values; thin lines, Theil–Sen fits, with slopes per decade and 95% moving-block bootstrap CIs.</w:t>
      </w:r>
    </w:p>
    <w:p>
      <w:pPr>
        <w:spacing w:after="160"/>
        <w:jc w:val="both"/>
      </w:pPr>
      <w:r>
        <w:rPr>
          <w:b/>
          <w:bCs/>
        </w:rPr>
        <w:t xml:space="preserve">Fig. 3 | Compound events by decade, 1985–2024.</w:t>
      </w:r>
      <w:r>
        <w:t xml:space="preserve"> Cluster values for </w:t>
      </w:r>
      <w:r>
        <w:rPr>
          <w:b/>
          <w:bCs/>
        </w:rPr>
        <w:t xml:space="preserve">a</w:t>
      </w:r>
      <w:r>
        <w:t xml:space="preserve">, number of same-day heatwave–extreme-precipitation days in each decade; </w:t>
      </w:r>
      <w:r>
        <w:rPr>
          <w:b/>
          <w:bCs/>
        </w:rPr>
        <w:t xml:space="preserve">b</w:t>
      </w:r>
      <w:r>
        <w:t xml:space="preserve">, after-to-before ratio of extreme precipitation; </w:t>
      </w:r>
      <w:r>
        <w:rPr>
          <w:b/>
          <w:bCs/>
        </w:rPr>
        <w:t xml:space="preserve">c</w:t>
      </w:r>
      <w:r>
        <w:t xml:space="preserve">, percentage of heatwaves preceded by drought, for 1985–1994, 1995–2004, 2005–2014 and 2015–2024. Thresholds are those of the 1985–2014 reference period for all decades.</w:t>
      </w:r>
    </w:p>
    <w:p>
      <w:pPr>
        <w:spacing w:after="160"/>
        <w:jc w:val="both"/>
      </w:pPr>
      <w:r>
        <w:rPr>
          <w:b/>
          <w:bCs/>
        </w:rPr>
        <w:t xml:space="preserve">Fig. 4 | Extreme precipitation before and after heatwaves.</w:t>
      </w:r>
      <w:r>
        <w:t xml:space="preserve"> </w:t>
      </w:r>
      <w:r>
        <w:rPr>
          <w:b/>
          <w:bCs/>
        </w:rPr>
        <w:t xml:space="preserve">a</w:t>
      </w:r>
      <w:r>
        <w:t xml:space="preserve">, Country means of the number of extreme-precipitation events per cluster before versus after heatwaves; dashed line, 1:1 (symmetry). </w:t>
      </w:r>
      <w:r>
        <w:rPr>
          <w:b/>
          <w:bCs/>
        </w:rPr>
        <w:t xml:space="preserve">b</w:t>
      </w:r>
      <w:r>
        <w:t xml:space="preserve">, Distribution of extreme-precipitation events relative to the nearest heatwave boundary (days; negative before onset, positive after the end), by decade. </w:t>
      </w:r>
      <w:r>
        <w:rPr>
          <w:b/>
          <w:bCs/>
        </w:rPr>
        <w:t xml:space="preserve">c</w:t>
      </w:r>
      <w:r>
        <w:t xml:space="preserve">, After-to-before ratio by sub-region and decade. Each event within 30 days of a heatwave is attributed to the nearest heatwave only.</w:t>
      </w:r>
    </w:p>
    <w:p>
      <w:pPr>
        <w:spacing w:after="160"/>
        <w:jc w:val="both"/>
      </w:pPr>
      <w:r>
        <w:rPr>
          <w:b/>
          <w:bCs/>
        </w:rPr>
        <w:t xml:space="preserve">Fig. 5 | Heatwaves preceded by drought.</w:t>
      </w:r>
      <w:r>
        <w:t xml:space="preserve"> </w:t>
      </w:r>
      <w:r>
        <w:rPr>
          <w:b/>
          <w:bCs/>
        </w:rPr>
        <w:t xml:space="preserve">a</w:t>
      </w:r>
      <w:r>
        <w:t xml:space="preserve">, Duration and </w:t>
      </w:r>
      <w:r>
        <w:rPr>
          <w:b/>
          <w:bCs/>
        </w:rPr>
        <w:t xml:space="preserve">b</w:t>
      </w:r>
      <w:r>
        <w:t xml:space="preserve">, peak daily maximum temperature of heatwaves preceded and not preceded by drought (SPEI-3 &lt; −1 in the month before onset), by sub-region. Boxes, interquartile range; centre lines, medians; whiskers, 1.5 times the interquartile range; diamonds, means. </w:t>
      </w:r>
      <w:r>
        <w:rPr>
          <w:b/>
          <w:bCs/>
        </w:rPr>
        <w:t xml:space="preserve">c</w:t>
      </w:r>
      <w:r>
        <w:t xml:space="preserve">, Percentage of heatwaves preceded by drought by sub-region and decade.</w:t>
      </w:r>
    </w:p>
    <w:p>
      <w:pPr>
        <w:spacing w:after="160"/>
        <w:jc w:val="both"/>
      </w:pPr>
      <w:r>
        <w:rPr>
          <w:b/>
          <w:bCs/>
        </w:rPr>
        <w:t xml:space="preserve">Fig. 6 | Compound-hazard regimes.</w:t>
      </w:r>
      <w:r>
        <w:t xml:space="preserve"> </w:t>
      </w:r>
      <w:r>
        <w:rPr>
          <w:b/>
          <w:bCs/>
        </w:rPr>
        <w:t xml:space="preserve">a</w:t>
      </w:r>
      <w:r>
        <w:t xml:space="preserve">, Distribution of the 53,370 classifiable clusters across eight regimes defined by which event types are locally prominent (above the upper quartile over 1985–2024; Methods). </w:t>
      </w:r>
      <w:r>
        <w:rPr>
          <w:b/>
          <w:bCs/>
        </w:rPr>
        <w:t xml:space="preserve">b</w:t>
      </w:r>
      <w:r>
        <w:t xml:space="preserve">, Spatial distribution of regimes. </w:t>
      </w:r>
      <w:r>
        <w:rPr>
          <w:b/>
          <w:bCs/>
        </w:rPr>
        <w:t xml:space="preserve">c</w:t>
      </w:r>
      <w:r>
        <w:t xml:space="preserve">, Regime shares by decade. </w:t>
      </w:r>
      <w:r>
        <w:rPr>
          <w:b/>
          <w:bCs/>
        </w:rPr>
        <w:t xml:space="preserve">d</w:t>
      </w:r>
      <w:r>
        <w:t xml:space="preserve">, </w:t>
      </w:r>
      <w:r>
        <w:rPr>
          <w:b/>
          <w:bCs/>
        </w:rPr>
        <w:t xml:space="preserve">e</w:t>
      </w:r>
      <w:r>
        <w:t xml:space="preserve">, Regimes in 1985–1994 and 2015–2024. </w:t>
      </w:r>
      <w:r>
        <w:rPr>
          <w:b/>
          <w:bCs/>
        </w:rPr>
        <w:t xml:space="preserve">f</w:t>
      </w:r>
      <w:r>
        <w:t xml:space="preserve">, Transitions between the first and last decades (percentage of the 18,564 clusters classifiable in both). Regimes describe local co-prominence of independently defined metrics and do not imply physical coupling.</w:t>
      </w:r>
    </w:p>
    <w:p>
      <w:pPr>
        <w:pStyle w:val="Heading1"/>
        <w:pageBreakBefore/>
      </w:pPr>
      <w:r>
        <w:t xml:space="preserve">References</w:t>
      </w:r>
    </w:p>
    <w:p>
      <w:pPr>
        <w:spacing w:after="80" w:line="276"/>
        <w:ind w:left="425" w:hanging="425"/>
      </w:pPr>
      <w:r>
        <w:t xml:space="preserve">1.	</w:t>
      </w:r>
      <w:r>
        <w:t xml:space="preserve">Tian, P. et al. Intensifying droughts, heatwaves, and compound drought–heatwave events and their spatiotemporal patterns in Africa (1979–2024). </w:t>
      </w:r>
      <w:r>
        <w:rPr>
          <w:i/>
          <w:iCs/>
        </w:rPr>
        <w:t xml:space="preserve">Weather Clim. Extremes</w:t>
      </w:r>
      <w:r>
        <w:t xml:space="preserve"> 52, 100879 (2026).</w:t>
      </w:r>
    </w:p>
    <w:p>
      <w:pPr>
        <w:spacing w:after="80" w:line="276"/>
        <w:ind w:left="425" w:hanging="425"/>
      </w:pPr>
      <w:r>
        <w:t xml:space="preserve">2.	</w:t>
      </w:r>
      <w:r>
        <w:t xml:space="preserve">Fredy, M. et al. Compound climate extremes in Africa: spatiotemporal variability and associated atmospheric circulations. </w:t>
      </w:r>
      <w:r>
        <w:rPr>
          <w:i/>
          <w:iCs/>
        </w:rPr>
        <w:t xml:space="preserve">Atmos. Res.</w:t>
      </w:r>
      <w:r>
        <w:t xml:space="preserve"> 342, 109187 (2026).</w:t>
      </w:r>
    </w:p>
    <w:p>
      <w:pPr>
        <w:spacing w:after="80" w:line="276"/>
        <w:ind w:left="425" w:hanging="425"/>
      </w:pPr>
      <w:r>
        <w:t xml:space="preserve">3.	</w:t>
      </w:r>
      <w:r>
        <w:t xml:space="preserve">Alasow, A. A., Hamed, M. M., Rady, M. &amp; Shahid, S. Spatiotemporal analysis of compound droughts and heat waves in the Horn of Africa. </w:t>
      </w:r>
      <w:r>
        <w:rPr>
          <w:i/>
          <w:iCs/>
        </w:rPr>
        <w:t xml:space="preserve">Int. J. Climatol.</w:t>
      </w:r>
      <w:r>
        <w:t xml:space="preserve"> 44, 4529–4547 (2024).</w:t>
      </w:r>
    </w:p>
    <w:p>
      <w:pPr>
        <w:spacing w:after="80" w:line="276"/>
        <w:ind w:left="425" w:hanging="425"/>
      </w:pPr>
      <w:r>
        <w:t xml:space="preserve">4.	</w:t>
      </w:r>
      <w:r>
        <w:t xml:space="preserve">Ayugi, B. O. et al. Amplification of compound hot-dry extremes and associated population exposure over East Africa. </w:t>
      </w:r>
      <w:r>
        <w:rPr>
          <w:i/>
          <w:iCs/>
        </w:rPr>
        <w:t xml:space="preserve">Clim. Change</w:t>
      </w:r>
      <w:r>
        <w:t xml:space="preserve"> 177, 146 (2024).</w:t>
      </w:r>
    </w:p>
    <w:p>
      <w:pPr>
        <w:spacing w:after="80" w:line="276"/>
        <w:ind w:left="425" w:hanging="425"/>
      </w:pPr>
      <w:r>
        <w:t xml:space="preserve">5.	</w:t>
      </w:r>
      <w:r>
        <w:t xml:space="preserve">Mhenzi, F. E., King'uza, P. H. &amp; Junior, I. J. Spatiotemporal variability of compound heat drought events in Sahel region. </w:t>
      </w:r>
      <w:r>
        <w:rPr>
          <w:i/>
          <w:iCs/>
        </w:rPr>
        <w:t xml:space="preserve">Int. J. Environ. Clim. Change</w:t>
      </w:r>
      <w:r>
        <w:t xml:space="preserve"> 16, 181–196 (2026).</w:t>
      </w:r>
    </w:p>
    <w:p>
      <w:pPr>
        <w:spacing w:after="80" w:line="276"/>
        <w:ind w:left="425" w:hanging="425"/>
      </w:pPr>
      <w:r>
        <w:t xml:space="preserve">6.	</w:t>
      </w:r>
      <w:r>
        <w:t xml:space="preserve">Seck, A. et al. Compound hot–dry extremes in Senegal: trends and time of emergence in a warming world. </w:t>
      </w:r>
      <w:r>
        <w:rPr>
          <w:i/>
          <w:iCs/>
        </w:rPr>
        <w:t xml:space="preserve">Environ. Res. Commun.</w:t>
      </w:r>
      <w:r>
        <w:t xml:space="preserve"> 8, 065041 (2026).</w:t>
      </w:r>
    </w:p>
    <w:p>
      <w:pPr>
        <w:spacing w:after="80" w:line="276"/>
        <w:ind w:left="425" w:hanging="425"/>
      </w:pPr>
      <w:r>
        <w:t xml:space="preserve">7.	</w:t>
      </w:r>
      <w:r>
        <w:t xml:space="preserve">Seneviratne, S. I. et al. Investigating soil moisture–climate interactions in a changing climate: a review. </w:t>
      </w:r>
      <w:r>
        <w:rPr>
          <w:i/>
          <w:iCs/>
        </w:rPr>
        <w:t xml:space="preserve">Earth-Sci. Rev.</w:t>
      </w:r>
      <w:r>
        <w:t xml:space="preserve"> 99, 125–161 (2010). [verify]</w:t>
      </w:r>
    </w:p>
    <w:p>
      <w:pPr>
        <w:spacing w:after="80" w:line="276"/>
        <w:ind w:left="425" w:hanging="425"/>
      </w:pPr>
      <w:r>
        <w:t xml:space="preserve">8.	</w:t>
      </w:r>
      <w:r>
        <w:t xml:space="preserve">Miralles, D. G., Teuling, A. J., van Heerwaarden, C. C. &amp; Vilà-Guerau de Arellano, J. Mega-heatwave temperatures due to combined soil desiccation and atmospheric heat accumulation. </w:t>
      </w:r>
      <w:r>
        <w:rPr>
          <w:i/>
          <w:iCs/>
        </w:rPr>
        <w:t xml:space="preserve">Nat. Geosci.</w:t>
      </w:r>
      <w:r>
        <w:t xml:space="preserve"> 7, 345–349 (2014). [verify]</w:t>
      </w:r>
    </w:p>
    <w:p>
      <w:pPr>
        <w:spacing w:after="80" w:line="276"/>
        <w:ind w:left="425" w:hanging="425"/>
      </w:pPr>
      <w:r>
        <w:t xml:space="preserve">9.	</w:t>
      </w:r>
      <w:r>
        <w:t xml:space="preserve">Adeyeri, O. E. A synthesis of compound drought in Africa: mechanisms, hotspots, impacts, and future projections. </w:t>
      </w:r>
      <w:r>
        <w:rPr>
          <w:i/>
          <w:iCs/>
        </w:rPr>
        <w:t xml:space="preserve">Water</w:t>
      </w:r>
      <w:r>
        <w:t xml:space="preserve"> 18, 1040 (2026).</w:t>
      </w:r>
    </w:p>
    <w:p>
      <w:pPr>
        <w:spacing w:after="80" w:line="276"/>
        <w:ind w:left="425" w:hanging="425"/>
      </w:pPr>
      <w:r>
        <w:t xml:space="preserve">10.	</w:t>
      </w:r>
      <w:r>
        <w:t xml:space="preserve">Liu, J. et al. Large and projected increases in compound heatwaves-extreme precipitation events driven by anthropogenic emissions. </w:t>
      </w:r>
      <w:r>
        <w:rPr>
          <w:i/>
          <w:iCs/>
        </w:rPr>
        <w:t xml:space="preserve">Weather Clim. Extremes</w:t>
      </w:r>
      <w:r>
        <w:t xml:space="preserve"> 52, 100908 (2026).</w:t>
      </w:r>
    </w:p>
    <w:p>
      <w:pPr>
        <w:spacing w:after="80" w:line="276"/>
        <w:ind w:left="425" w:hanging="425"/>
      </w:pPr>
      <w:r>
        <w:t xml:space="preserve">11.	</w:t>
      </w:r>
      <w:r>
        <w:t xml:space="preserve">Kessy, W. P. et al. Spatiotemporal analysis of compound hot-dry and hot-wet extreme events over Tanzania. </w:t>
      </w:r>
      <w:r>
        <w:rPr>
          <w:i/>
          <w:iCs/>
        </w:rPr>
        <w:t xml:space="preserve">Theor. Appl. Climatol.</w:t>
      </w:r>
      <w:r>
        <w:t xml:space="preserve"> https://doi.org/10.1007/s00704-026-06278-9 (2026).</w:t>
      </w:r>
    </w:p>
    <w:p>
      <w:pPr>
        <w:spacing w:after="80" w:line="276"/>
        <w:ind w:left="425" w:hanging="425"/>
      </w:pPr>
      <w:r>
        <w:t xml:space="preserve">12.	</w:t>
      </w:r>
      <w:r>
        <w:t xml:space="preserve">Zscheischler, J. &amp; Seneviratne, S. I. Dependence of drivers affects risks associated with compound events. </w:t>
      </w:r>
      <w:r>
        <w:rPr>
          <w:i/>
          <w:iCs/>
        </w:rPr>
        <w:t xml:space="preserve">Sci. Adv.</w:t>
      </w:r>
      <w:r>
        <w:t xml:space="preserve"> 3, e1700263 (2017).</w:t>
      </w:r>
    </w:p>
    <w:p>
      <w:pPr>
        <w:spacing w:after="80" w:line="276"/>
        <w:ind w:left="425" w:hanging="425"/>
      </w:pPr>
      <w:r>
        <w:t xml:space="preserve">13.	</w:t>
      </w:r>
      <w:r>
        <w:t xml:space="preserve">Hersbach, H. et al. The ERA5 global reanalysis. </w:t>
      </w:r>
      <w:r>
        <w:rPr>
          <w:i/>
          <w:iCs/>
        </w:rPr>
        <w:t xml:space="preserve">Q. J. R. Meteorol. Soc.</w:t>
      </w:r>
      <w:r>
        <w:t xml:space="preserve"> 146, 1999–2049 (2020).</w:t>
      </w:r>
    </w:p>
    <w:p>
      <w:pPr>
        <w:spacing w:after="80" w:line="276"/>
        <w:ind w:left="425" w:hanging="425"/>
      </w:pPr>
      <w:r>
        <w:t xml:space="preserve">14.	</w:t>
      </w:r>
      <w:r>
        <w:t xml:space="preserve">Funk, C. et al. The climate hazards infrared precipitation with stations—a new environmental record for monitoring extremes. </w:t>
      </w:r>
      <w:r>
        <w:rPr>
          <w:i/>
          <w:iCs/>
        </w:rPr>
        <w:t xml:space="preserve">Sci. Data</w:t>
      </w:r>
      <w:r>
        <w:t xml:space="preserve"> 2, 150066 (2015).</w:t>
      </w:r>
    </w:p>
    <w:p>
      <w:pPr>
        <w:spacing w:after="80" w:line="276"/>
        <w:ind w:left="425" w:hanging="425"/>
      </w:pPr>
      <w:r>
        <w:t xml:space="preserve">15.	</w:t>
      </w:r>
      <w:r>
        <w:t xml:space="preserve">[DHS Program GPS displacement documentation, e.g. Burgert, C. R. et al. Geographic displacement procedure and georeferenced data release policy for the Demographic and Health Surveys. DHS Spatial Analysis Reports No. 7 (ICF International, 2013). [verify]]</w:t>
      </w:r>
    </w:p>
    <w:p>
      <w:pPr>
        <w:spacing w:after="80" w:line="276"/>
        <w:ind w:left="425" w:hanging="425"/>
      </w:pPr>
      <w:r>
        <w:t xml:space="preserve">16.	</w:t>
      </w:r>
      <w:r>
        <w:t xml:space="preserve">Zhang, X., Hegerl, G., Zwiers, F. W. &amp; Kenyon, J. Avoiding inhomogeneity in percentile-based indices of temperature extremes. </w:t>
      </w:r>
      <w:r>
        <w:rPr>
          <w:i/>
          <w:iCs/>
        </w:rPr>
        <w:t xml:space="preserve">J. Clim.</w:t>
      </w:r>
      <w:r>
        <w:t xml:space="preserve"> 18, 1641–1651 (2005).</w:t>
      </w:r>
    </w:p>
    <w:p>
      <w:pPr>
        <w:spacing w:after="80" w:line="276"/>
        <w:ind w:left="425" w:hanging="425"/>
      </w:pPr>
      <w:r>
        <w:t xml:space="preserve">17.	</w:t>
      </w:r>
      <w:r>
        <w:t xml:space="preserve">Russo, S. et al. Magnitude of extreme heat waves in present climate and their projection in a warming world. </w:t>
      </w:r>
      <w:r>
        <w:rPr>
          <w:i/>
          <w:iCs/>
        </w:rPr>
        <w:t xml:space="preserve">J. Geophys. Res. Atmos.</w:t>
      </w:r>
      <w:r>
        <w:t xml:space="preserve"> 119, 12500–12512 (2014).</w:t>
      </w:r>
    </w:p>
    <w:p>
      <w:pPr>
        <w:spacing w:after="80" w:line="276"/>
        <w:ind w:left="425" w:hanging="425"/>
      </w:pPr>
      <w:r>
        <w:t xml:space="preserve">18.	</w:t>
      </w:r>
      <w:r>
        <w:t xml:space="preserve">Vicente-Serrano, S. M., Beguería, S. &amp; López-Moreno, J. I. A multiscalar drought index sensitive to global warming: the standardized precipitation evapotranspiration index. </w:t>
      </w:r>
      <w:r>
        <w:rPr>
          <w:i/>
          <w:iCs/>
        </w:rPr>
        <w:t xml:space="preserve">J. Clim.</w:t>
      </w:r>
      <w:r>
        <w:t xml:space="preserve"> 23, 1696–1718 (2010).</w:t>
      </w:r>
    </w:p>
    <w:p>
      <w:pPr>
        <w:spacing w:after="80" w:line="276"/>
        <w:ind w:left="425" w:hanging="425"/>
      </w:pPr>
      <w:r>
        <w:t xml:space="preserve">19.	</w:t>
      </w:r>
      <w:r>
        <w:t xml:space="preserve">Hargreaves, G. H. &amp; Samani, Z. A. Reference crop evapotranspiration from temperature. </w:t>
      </w:r>
      <w:r>
        <w:rPr>
          <w:i/>
          <w:iCs/>
        </w:rPr>
        <w:t xml:space="preserve">Appl. Eng. Agric.</w:t>
      </w:r>
      <w:r>
        <w:t xml:space="preserve"> 1, 96–99 (1985).</w:t>
      </w:r>
    </w:p>
    <w:p>
      <w:pPr>
        <w:spacing w:after="80" w:line="276"/>
        <w:ind w:left="425" w:hanging="425"/>
      </w:pPr>
      <w:r>
        <w:t xml:space="preserve">20.	</w:t>
      </w:r>
      <w:r>
        <w:t xml:space="preserve">Allen, R. G., Pereira, L. S., Raes, D. &amp; Smith, M. </w:t>
      </w:r>
      <w:r>
        <w:rPr>
          <w:i/>
          <w:iCs/>
        </w:rPr>
        <w:t xml:space="preserve">Crop Evapotranspiration: Guidelines for Computing Crop Water Requirements</w:t>
      </w:r>
      <w:r>
        <w:t xml:space="preserve">. FAO Irrigation and Drainage Paper 56 (FAO, 1998).</w:t>
      </w:r>
    </w:p>
    <w:p>
      <w:pPr>
        <w:spacing w:after="80" w:line="276"/>
        <w:ind w:left="425" w:hanging="425"/>
      </w:pPr>
      <w:r>
        <w:t xml:space="preserve">21.	</w:t>
      </w:r>
      <w:r>
        <w:t xml:space="preserve">Bourgault, P. et al. xclim: xarray-based climate data analytics. </w:t>
      </w:r>
      <w:r>
        <w:rPr>
          <w:i/>
          <w:iCs/>
        </w:rPr>
        <w:t xml:space="preserve">J. Open Source Softw.</w:t>
      </w:r>
      <w:r>
        <w:t xml:space="preserve"> 8, 5415 (2023).</w:t>
      </w:r>
    </w:p>
    <w:p>
      <w:pPr>
        <w:spacing w:after="80" w:line="276"/>
        <w:ind w:left="425" w:hanging="425"/>
      </w:pPr>
      <w:r>
        <w:t xml:space="preserve">22.	</w:t>
      </w:r>
      <w:r>
        <w:t xml:space="preserve">McKee, T. B., Doesken, N. J. &amp; Kleist, J. The relationship of drought frequency and duration to time scales. In </w:t>
      </w:r>
      <w:r>
        <w:rPr>
          <w:i/>
          <w:iCs/>
        </w:rPr>
        <w:t xml:space="preserve">Proc. 8th Conference on Applied Climatology</w:t>
      </w:r>
      <w:r>
        <w:t xml:space="preserve"> 179–184 (American Meteorological Society, 1993).</w:t>
      </w:r>
    </w:p>
    <w:p>
      <w:pPr>
        <w:spacing w:after="80" w:line="276"/>
        <w:ind w:left="425" w:hanging="425"/>
      </w:pPr>
      <w:r>
        <w:t xml:space="preserve">23.	</w:t>
      </w:r>
      <w:r>
        <w:t xml:space="preserve">Donges, J. F., Schleussner, C.-F., Siegmund, J. F. &amp; Donner, R. V. Event coincidence analysis for quantifying statistical interrelationships between event time series. </w:t>
      </w:r>
      <w:r>
        <w:rPr>
          <w:i/>
          <w:iCs/>
        </w:rPr>
        <w:t xml:space="preserve">Eur. Phys. J. Spec. Top.</w:t>
      </w:r>
      <w:r>
        <w:t xml:space="preserve"> 225, 471–487 (2016).</w:t>
      </w:r>
    </w:p>
    <w:p>
      <w:pPr>
        <w:spacing w:after="80" w:line="276"/>
        <w:ind w:left="425" w:hanging="425"/>
      </w:pPr>
      <w:r>
        <w:t xml:space="preserve">24.	</w:t>
      </w:r>
      <w:r>
        <w:t xml:space="preserve">Sen, P. K. Estimates of the regression coefficient based on Kendall's tau. </w:t>
      </w:r>
      <w:r>
        <w:rPr>
          <w:i/>
          <w:iCs/>
        </w:rPr>
        <w:t xml:space="preserve">J. Am. Stat. Assoc.</w:t>
      </w:r>
      <w:r>
        <w:t xml:space="preserve"> 63, 1379–1389 (1968).</w:t>
      </w:r>
    </w:p>
    <w:p>
      <w:pPr>
        <w:spacing w:after="80" w:line="276"/>
        <w:ind w:left="425" w:hanging="425"/>
      </w:pPr>
      <w:r>
        <w:t xml:space="preserve">25.	</w:t>
      </w:r>
      <w:r>
        <w:t xml:space="preserve">Hamed, K. H. &amp; Rao, A. R. A modified Mann–Kendall trend test for autocorrelated data. </w:t>
      </w:r>
      <w:r>
        <w:rPr>
          <w:i/>
          <w:iCs/>
        </w:rPr>
        <w:t xml:space="preserve">J. Hydrol.</w:t>
      </w:r>
      <w:r>
        <w:t xml:space="preserve"> 204, 182–196 (1998).</w:t>
      </w:r>
    </w:p>
    <w:p>
      <w:pPr>
        <w:spacing w:after="80" w:line="276"/>
        <w:ind w:left="425" w:hanging="425"/>
      </w:pPr>
      <w:r>
        <w:t xml:space="preserve">26.	</w:t>
      </w:r>
      <w:r>
        <w:t xml:space="preserve">Künsch, H. R. The jackknife and the bootstrap for general stationary observations. </w:t>
      </w:r>
      <w:r>
        <w:rPr>
          <w:i/>
          <w:iCs/>
        </w:rPr>
        <w:t xml:space="preserve">Ann. Stat.</w:t>
      </w:r>
      <w:r>
        <w:t xml:space="preserve"> 17, 1217–1241 (1989).</w:t>
      </w:r>
    </w:p>
    <w:p>
      <w:pPr>
        <w:spacing w:after="80" w:line="276"/>
        <w:ind w:left="425" w:hanging="425"/>
      </w:pPr>
      <w:r>
        <w:t xml:space="preserve">27.	</w:t>
      </w:r>
      <w:r>
        <w:t xml:space="preserve">Benjamini, Y. &amp; Hochberg, Y. Controlling the false discovery rate: a practical and powerful approach to multiple testing. </w:t>
      </w:r>
      <w:r>
        <w:rPr>
          <w:i/>
          <w:iCs/>
        </w:rPr>
        <w:t xml:space="preserve">J. R. Stat. Soc. B</w:t>
      </w:r>
      <w:r>
        <w:t xml:space="preserve"> 57, 289–300 (1995).</w:t>
      </w:r>
    </w:p>
    <w:sectPr>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heat, extreme precipitation and drought across sub-Saharan Africa</dc:title>
  <cp:revision>1</cp:revision>
  <dcterms:created xsi:type="dcterms:W3CDTF">2026-10-12T23:57:07.078Z</dcterms:created>
  <dcterms:modified xsi:type="dcterms:W3CDTF">2026-10-12T23:57:07.083Z</dcterms:modified>
</cp:coreProperties>
</file>

<file path=docProps/custom.xml><?xml version="1.0" encoding="utf-8"?>
<Properties xmlns="http://schemas.openxmlformats.org/officeDocument/2006/custom-properties" xmlns:vt="http://schemas.openxmlformats.org/officeDocument/2006/docPropsVTypes"/>
</file>