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S8a,b; Supplementary Table S4).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 S4): 6.45 days on average against 5.90 days for other heatwaves (+0.55 days, +9%), with the largest extensions in Southern (+0.97 days, +19%) and Western Africa (+0.65 days, +11%). The extension increases with drought severity, from +7% for SPEI-3 &lt; −0.5 to +16% for SPEI-3 &lt; −2 (Extended Data Fig. S8d).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month of the year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35,533 locations with sufficient data to be classified (66% of eligible clusters; most of the others lie in the western Sahel, where few extreme-precipitation events surround heatwaves), 37.7% had no prominent event type (Fig. 6a). Single-hazard regimes were the most common otherwise: isolated post-heatwave precipitation excess (18.4%), heat-precipitation events alone (18.0%) and drought-heat events alone (14.6%). The combination of drought-heat coupling and post-heatwave precipitation excess represents 5.4%, the pairing of heat-precipitation events with drought-heat coupling 4.8%, while heat-precipitation events with post-heatwave precipitation excess (1.0%) and the overlap of all three types (0.1%) constitute the least frequent categories.</w:t>
      </w:r>
    </w:p>
    <w:p>
      <w:pPr>
        <w:spacing w:after="160"/>
        <w:jc w:val="both"/>
      </w:pPr>
      <w:r>
        <w:t xml:space="preserve">These regimes exhibit strong geographical variation (Fig. 6b): in Western and Southern Africa, drought-heat events dominate, reflecting dry baseline conditions. In contrast, Eastern Africa shows the highest spatial overlap of all three event types, consistent with its high background moisture availability, recurring droughts, and strong post-heatwave rainfall response. </w:t>
      </w:r>
      <w:r>
        <w:rPr>
          <w:b/>
          <w:bCs/>
        </w:rPr>
        <w:t xml:space="preserve">[Check both sentences against the new Fig. 6b.]</w:t>
      </w:r>
      <w:r>
        <w:t xml:space="preserve"> Over time, regimes dominated by heat-precipitation co-occurrence expanded (from 13.9% of classifiable locations in 1985-1994 to 35.5% in 2015-2024, and from 6.3% to 20.7% when combined with drought-heat coupling), whereas post-heatwave precipitation excess alone became less frequent (17.5% to 6.1%). At individual locations, however, the regime was unchanged in only 20.3% of the 15,644 locations classifiable in both decades (16.1% expected by chance), so these changes describe a net redistribution rather than stable local trajectories. The same patterns were found when the upper tercile was used as threshold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35,533 classifiable survey clusters across eight mutually exclusive regimes, defined by which event types are locally prominent using fixed thresholds for each event type (upper quartile; Methods). </w:t>
      </w:r>
      <w:r>
        <w:rPr>
          <w:b/>
          <w:bCs/>
        </w:rPr>
        <w:t xml:space="preserve">b</w:t>
      </w:r>
      <w:r>
        <w:t xml:space="preserve">, Spatial distribution of these regimes; clusters with insufficient data are shown separately.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drought-heat events are particularly common in Western and Southern Africa, whereas Eastern Africa experiences the greatest overlap between different types of compound events. </w:t>
      </w:r>
      <w:r>
        <w:rPr>
          <w:b/>
          <w:bCs/>
        </w:rPr>
        <w:t xml:space="preserve">[Check against the new Fig. 6b.]</w:t>
      </w:r>
      <w:r>
        <w:t xml:space="preserve">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towards regimes dominated by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and peak Tmax. In total, 10,743,161 heatwaves were detected. As a sensitivity analysis, heatwaves were also defined with a calendar-day threshold, computed for each calendar day from the baseline values within a 31-day window centred on that day.</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recommended by the FAO when only temperature data are available, with extraterrestrial radiation computed following FAO Irrigation and Drainage Paper 56</w:t>
      </w:r>
      <w:r>
        <w:rPr>
          <w:vertAlign w:val="superscript"/>
        </w:rPr>
        <w:t xml:space="preserve">39</w:t>
      </w:r>
      <w:r>
        <w:t xml:space="preserve">. The monthly climatic water balance, D = P − PET, was accumulated over a rolling 3-month window. For each PSU and month of the year, a log-logistic distribution was fitted by maximum likelihood to the 1985-2014 values with xclim 0.61.1</w:t>
      </w:r>
      <w:r>
        <w:rPr>
          <w:vertAlign w:val="superscript"/>
        </w:rPr>
        <w:t xml:space="preserve">40</w:t>
      </w:r>
      <w:r>
        <w:t xml:space="preserve">, so that values after 2014 are extrapolations beyond the calibration period. The 3-month Standardized Precipitation Index (SPI-3)</w:t>
      </w:r>
      <w:r>
        <w:rPr>
          <w:vertAlign w:val="superscript"/>
        </w:rPr>
        <w:t xml:space="preserve">41</w:t>
      </w:r>
      <w:r>
        <w:t xml:space="preserve">, based on precipitation only, was computed in the same way as a comparison.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 We also repeated the calculation with windows of 7, 15, 45 and 60 days and after excluding EPEs within 1 to 5 days of the heatwave boundaries.</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Sensitivity analyses used the onset month (lag 0), SPI-3 and drought thresholds of −0.5, −1.5 and −2. Because drought frequency differs between places and seasons, the observed share was also compared with its local expectation, the drought frequency of the same PSU in the same month of the year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Each PSU was classified according to which event types are locally prominent: an event type is prominent when its PSU value is strictly above the 75th percentile of the PSUs classifiable on all three types over 1985-2024, which yields eight mutually exclusive regimes; the upper tercile was used as a sensitivity threshold. A PSU was classifiable only if at least 10 EPEs were attributed to its heatwaves and at least 10 of its heatwaves had an antecedent SPEI-3 value; these minimum supports were fixed from the distribution of supports before thresholds or classes were examined. Decadal regimes apply the same 1985-2024 thresholds, and transitions between the first and last decades were computed on the PSUs classifiable in both, the share of PSUs keeping the same regime being compared with its value expected by chance.</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w:t>
      </w:r>
      <w:r>
        <w:rPr>
          <w:b/>
          <w:bCs/>
        </w:rPr>
        <w:t xml:space="preserve">a</w:t>
      </w:r>
      <w:r>
        <w:t xml:space="preserve">, After-to-before ratio of extreme precipitation for windows of ±7 to ±60 days, by region. </w:t>
      </w:r>
      <w:r>
        <w:rPr>
          <w:b/>
          <w:bCs/>
        </w:rPr>
        <w:t xml:space="preserve">b</w:t>
      </w:r>
      <w:r>
        <w:t xml:space="preserve">, Same for the continent (2.81 to 3.47). </w:t>
      </w:r>
      <w:r>
        <w:rPr>
          <w:b/>
          <w:bCs/>
        </w:rPr>
        <w:t xml:space="preserve">c</w:t>
      </w:r>
      <w:r>
        <w:t xml:space="preserve">, Share of heatwaves preceded by drought for SPEI-3 thresholds from −0.5 to −2 (42.5% to 5.7%). </w:t>
      </w:r>
      <w:r>
        <w:rPr>
          <w:b/>
          <w:bCs/>
        </w:rPr>
        <w:t xml:space="preserve">d</w:t>
      </w:r>
      <w:r>
        <w:t xml:space="preserve">, Extension of the mean duration of heatwaves preceded by drought relative to other heatwaves, for the same thresholds (+7% to +16%). </w:t>
      </w:r>
      <w:r>
        <w:rPr>
          <w:b/>
          <w:bCs/>
        </w:rPr>
        <w:t xml:space="preserve">e</w:t>
      </w:r>
      <w:r>
        <w:t xml:space="preserve">, Share of heatwaves preceded by drought with SPEI-3 in the preceding month (primary), SPEI-3 in the month of onset and SPI-3, by region. The ratio after excluding EPEs near the heatwave boundaries and the drought-share trend for each threshold are given in Supplementary Table S4.</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month of the year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Compound-hazard regimes with the upper tercile as threshold.</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p>
      <w:pPr>
        <w:spacing w:after="160"/>
        <w:jc w:val="both"/>
      </w:pPr>
      <w:r>
        <w:rPr>
          <w:b/>
          <w:bCs/>
        </w:rPr>
        <w:t xml:space="preserve">Supplementary Table S4 | Sensitivity values.</w:t>
      </w:r>
      <w:r>
        <w:t xml:space="preserve"> After-to-before ratio after excluding EPEs within 1 to 5 days of the heatwave boundaries (3.01 to 3.16); for each SPEI-3 threshold, share of heatwaves preceded by drought, duration ratio and trend of this share per decade.</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2026-10-13T15:31:42.552Z</dcterms:created>
  <dcterms:modified xsi:type="dcterms:W3CDTF">2026-10-13T15:31:42.561Z</dcterms:modified>
</cp:coreProperties>
</file>

<file path=docProps/custom.xml><?xml version="1.0" encoding="utf-8"?>
<Properties xmlns="http://schemas.openxmlformats.org/officeDocument/2006/custom-properties" xmlns:vt="http://schemas.openxmlformats.org/officeDocument/2006/docPropsVTypes"/>
</file>