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rPr>
          <w:b/>
          <w:bCs/>
        </w:rPr>
        <w:t xml:space="preserve">[Describe Fig. 4b from the new figure: day of maximum density after the heatwave end and shape of the curve.]</w:t>
      </w:r>
      <w:r>
        <w:t xml:space="preserve"> This pattern remains consistent across all four decades. The decrease of the ratio over time (Fig. 4c) is most pronounced in Western Africa (declining from 11.2 in 1985-1994 to 4.3 in 2015-2024), while Central Africa maintains the lowest ratios throughout (2.1 to 1.4). In every region and every decade, the ratio remains above unity, confirming that this directional asymmetry is a persistent feature of the African climate system rather than a statistical artifact of any particular period. Sensitivity tests across temporal windows from ±7 to ±60 days yield the same qualitative pattern (ratio 2.81 to 3.47; Extended Data Fig. S8), ruling out window size as a driver of the asymmetry. Because rainfall can terminate a heatwave, 7.0% of post-heatwave EPEs fall on the day after it ends; excluding EPEs within 1 to 5 days of the heatwave boundaries leaves the ratio between 3.01 and 3.16 (Extended Data Fig. S8), attesting to the robustness of the results.</w:t>
      </w:r>
    </w:p>
    <w:p>
      <w:pPr>
        <w:spacing w:after="160"/>
        <w:jc w:val="both"/>
      </w:pPr>
      <w:r>
        <w:t xml:space="preserve">Heatwaves that follow drought conditions last longer across all regions (Fig. 5a; Extended Data Fig. S4, S8). On average, these events are extended by 0.55 days (6.45 versus 5.90 days, +9%), with the most pronounced prolongations occurring in Southern (+0.97 days, +19%) and Western Africa (+0.65 days, +11%), and the extension increases with drought severity (+7% for SPEI-3 &lt; −0.5 to +16% for SPEI-3 &lt; −2). The effect on temperature is more variable (Fig. 5b): in Southern Africa, heatwaves following drought are substantially hotter (+1.7 °C), whereas other regions exhibit more modest increases (+0.1 to +1.0 °C). This temperature difference has grown over time, from −1.8 °C in 1985-1994 to +2.1 °C in 2015-2024 at the continental scale. Concurrently, the proportion of heatwaves preceded by drought has risen sharply, increasing continent-wide from 15.5% in 1985-1994 to 34.9% in 2015-2024 (Fig. 5c). Southern Africa shows the steepest pathway, with drought-preconditioned heatwaves reaching 59.8% in the most recent decade. Part of this rise follows the background increase in drought frequency. Compared with the drought frequency expected for the same location, calendar month and decade (24.2%), heatwaves were preceded by drought 1.10 times more often (precipitation-only SPI-3: 1.08 times). This heatwave-specific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35,533 locations with sufficient data to be classified (66% of eligible clusters; most of the others lie in the western Sahel, where few extreme-precipitation events surround heatwaves), 37.7% had no prominent event type (Fig. 6a). Single-hazard regimes were the most common otherwise: isolated post-heatwave precipitation excess (18.4%), heat-precipitation events alone (18.0%) and drought-heat events alone (14.6%). The combination of drought-heat coupling and post-heatwave precipitation excess represents 5.4%, the pairing of heat-precipitation events with drought-heat coupling 4.8%, while heat-precipitation events with post-heatwave precipitation excess (1.0%) and the overlap of all three types (0.1%) constitute the least frequent categories.</w:t>
      </w:r>
    </w:p>
    <w:p>
      <w:pPr>
        <w:spacing w:after="160"/>
        <w:jc w:val="both"/>
      </w:pPr>
      <w:r>
        <w:t xml:space="preserve">These regimes exhibit strong geographical variation (Fig. 6b): in Western and Southern Africa, drought-heat events dominate, reflecting dry baseline conditions. In contrast, Eastern Africa shows the highest spatial overlap of all three event types, consistent with its high background moisture availability, recurring droughts, and strong post-heatwave rainfall response. </w:t>
      </w:r>
      <w:r>
        <w:rPr>
          <w:b/>
          <w:bCs/>
        </w:rPr>
        <w:t xml:space="preserve">[Check both sentences against the new Fig. 6b.]</w:t>
      </w:r>
      <w:r>
        <w:t xml:space="preserve"> Over time, regimes dominated by heat-precipitation co-occurrence expanded (from 13.9% of classifiable locations in 1985-1994 to 35.5% in 2015-2024, and from 6.3% to 20.7% when combined with drought-heat coupling), whereas post-heatwave precipitation excess alone became less frequent (17.5% to 6.1%). At individual locations, however, the regime was unchanged in only 20.3% of the 15,644 locations classifiable in both decades (16.1% expected by chance), so these changes describe a net redistribution rather than stable local trajectories. The same patterns were found when the upper tercile was used as threshold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35,533 classifiable survey clusters across eight mutually exclusive regimes, defined by which event types are locally prominent using fixed thresholds for each event type (upper quartile; Methods). </w:t>
      </w:r>
      <w:r>
        <w:rPr>
          <w:b/>
          <w:bCs/>
        </w:rPr>
        <w:t xml:space="preserve">b</w:t>
      </w:r>
      <w:r>
        <w:t xml:space="preserve">, Spatial distribution of these regimes; clusters with insufficient data are shown separately.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increased from 15.5% to 34.9% between the first and last decades of the study period, with Southern Africa reaching 59.8%.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drought-heat events are particularly common in Western and Southern Africa, whereas Eastern Africa experiences the greatest overlap between different types of compound events. </w:t>
      </w:r>
      <w:r>
        <w:rPr>
          <w:b/>
          <w:bCs/>
        </w:rPr>
        <w:t xml:space="preserve">[Check against the new Fig. 6b.]</w:t>
      </w:r>
      <w:r>
        <w:t xml:space="preserve">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towards regimes dominated by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and peak Tmax. In total, 10,743,161 heatwaves were detected. As a sensitivity analysis, heatwaves were also defined with a calendar-day threshold, computed for each calendar day from the baseline values within a 31-day window centred on that day.</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recommended by the FAO when only temperature data are available, with extraterrestrial radiation computed following FAO Irrigation and Drainage Paper 56</w:t>
      </w:r>
      <w:r>
        <w:rPr>
          <w:vertAlign w:val="superscript"/>
        </w:rPr>
        <w:t xml:space="preserve">39</w:t>
      </w:r>
      <w:r>
        <w:t xml:space="preserve">. The monthly climatic water balance, D = P − PET, was accumulated over a rolling 3-month window. For each PSU and calendar month, a log-logistic distribution was fitted by maximum likelihood to the 1985-2014 values with xclim 0.61.1</w:t>
      </w:r>
      <w:r>
        <w:rPr>
          <w:vertAlign w:val="superscript"/>
        </w:rPr>
        <w:t xml:space="preserve">40</w:t>
      </w:r>
      <w:r>
        <w:t xml:space="preserve">, so that values after 2014 are extrapolations beyond the calibration period. The 3-month Standardized Precipitation Index (SPI-3)</w:t>
      </w:r>
      <w:r>
        <w:rPr>
          <w:vertAlign w:val="superscript"/>
        </w:rPr>
        <w:t xml:space="preserve">41</w:t>
      </w:r>
      <w:r>
        <w:t xml:space="preserve">, based on precipitation only, was computed in the same way as a comparison.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 We also repeated the calculation with windows of 7, 15, 45 and 60 days and after excluding EPEs within 1 to 5 days of the heatwave boundaries.</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Sensitivity analyses used the onset month (lag 0), SPI-3 and drought thresholds of −0.5, −1.5 and −2. Because drought frequency differs between places and seasons, the observed share was also compared with its local expectation, the drought frequency of the same PSU in the same calendar month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Each PSU was classified according to which event types are locally prominent: an event type is prominent when its PSU value is strictly above the 75th percentile of the PSUs classifiable on all three types over 1985-2024, which yields eight mutually exclusive regimes; the upper tercile was used as a sensitivity threshold. A PSU was classifiable only if at least 10 EPEs were attributed to its heatwaves and at least 10 of its heatwaves had an antecedent SPEI-3 value; these minimum supports were fixed from the distribution of supports before thresholds or classes were examined. Decadal regimes apply the same 1985-2024 thresholds, and transitions between the first and last decades were computed on the PSUs classifiable in both, the share of PSUs keeping the same regime being compared with its value expected by chance.</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Effect of the drought threshold (−0.5 to −2) on the share of heatwaves preceded by drought (42.5% to 5.7%), on the duration ratio (1.07 to 1.16) and on the trend; after-to-before ratio for windows of ±7 to ±60 days (2.81 to 3.47); and ratio after excluding EPEs within 1 to 5 days of the heatwave boundaries (3.01 to 3.16).</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calendar month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Compound-hazard regimes with the upper tercile as threshold.</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2026-10-13T12:52:10.879Z</dcterms:created>
  <dcterms:modified xsi:type="dcterms:W3CDTF">2026-10-13T12:52:10.899Z</dcterms:modified>
</cp:coreProperties>
</file>

<file path=docProps/custom.xml><?xml version="1.0" encoding="utf-8"?>
<Properties xmlns="http://schemas.openxmlformats.org/officeDocument/2006/custom-properties" xmlns:vt="http://schemas.openxmlformats.org/officeDocument/2006/docPropsVTypes"/>
</file>