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shows that most locations are exposed to at most one prominent hazard type (Fig. 6a). Of the 51,514 classifiable locations (94.3%), 39.5% had no prominent type, and single-hazard regimes were the most common otherwise (heat-precipitation events 17.5%, post-heatwave precipitation excess 16.7%, drought-heat events 14.7%). Drought-heat coupling combined with post-heatwave precipitation excess (6.8%) more often than expected if the three types were spatially independent (4.8%), whereas heat-precipitation events rarely coincided with post-heatwave precipitation excess (1.4%, against 4.2%) or with both other types (0.1%, against 1.4%).</w:t>
      </w:r>
    </w:p>
    <w:p>
      <w:pPr>
        <w:spacing w:after="160"/>
        <w:jc w:val="both"/>
      </w:pPr>
      <w:r>
        <w:t xml:space="preserve">These regimes exhibit strong geographical variation (Fig. 6b): post-heatwave precipitation excess dominates the Sahel, often with drought-heat coupling in its western part, whereas heat-precipitation events dominate more humid regions such as Madagascar, the East African highlands and the Atlantic coast of Central Africa. Between 1985-1994 and 2015-2024, the share of locations without a prominent type fell from 64.6% to 24.6%, mainly towards drought-heat coupling alone (10.2% to 28.1%), heat-precipitation events alone (7.8% to 23.3%) and their combination (2.2% to 12.4%), while post-heatwave precipitation excess alone declined (12.8% to 5.3%) (Fig. 6c–e). Only 22.2% of locations kept the same regime (20.4% expected by chance; Fig. 6f), indicating a net redistribution rather than stable local trajectories. These patterns were unchanged with the upper tercile as threshold (Extended Data Fig. S13a). With a minimum of 10 extreme precipitation events, which excludes most of the western Sahel, the 1985-2024 shares were similar, but drought-heat coupling alone did not increase, so that its expansion is concentrated in West Africa (Extended Data Fig. S13b).</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51,514 classifiable survey clusters across eight regimes defined by which event types are locally prominent (above the 75th percentile; Methods). </w:t>
      </w:r>
      <w:r>
        <w:rPr>
          <w:b/>
          <w:bCs/>
        </w:rPr>
        <w:t xml:space="preserve">b</w:t>
      </w:r>
      <w:r>
        <w:t xml:space="preserve">, Spatial distribution; dark grey, insufficient data. </w:t>
      </w:r>
      <w:r>
        <w:rPr>
          <w:b/>
          <w:bCs/>
        </w:rPr>
        <w:t xml:space="preserve">c</w:t>
      </w:r>
      <w:r>
        <w:t xml:space="preserve">, Regime shares by decade. </w:t>
      </w:r>
      <w:r>
        <w:rPr>
          <w:b/>
          <w:bCs/>
        </w:rPr>
        <w:t xml:space="preserve">d</w:t>
      </w:r>
      <w:r>
        <w:t xml:space="preserve">, </w:t>
      </w:r>
      <w:r>
        <w:rPr>
          <w:b/>
          <w:bCs/>
        </w:rPr>
        <w:t xml:space="preserve">e</w:t>
      </w:r>
      <w:r>
        <w:t xml:space="preserve">, Regimes in 1985-1994 (</w:t>
      </w:r>
      <w:r>
        <w:rPr>
          <w:b/>
          <w:bCs/>
        </w:rPr>
        <w:t xml:space="preserve">d</w:t>
      </w:r>
      <w:r>
        <w:t xml:space="preserve">) and 2015-2024 (</w:t>
      </w:r>
      <w:r>
        <w:rPr>
          <w:b/>
          <w:bCs/>
        </w:rPr>
        <w:t xml:space="preserve">e</w:t>
      </w:r>
      <w:r>
        <w:t xml:space="preserve">). </w:t>
      </w:r>
      <w:r>
        <w:rPr>
          <w:b/>
          <w:bCs/>
        </w:rPr>
        <w:t xml:space="preserve">f</w:t>
      </w:r>
      <w:r>
        <w:t xml:space="preserve">, Transitions between these decades (% of 42,234 clusters; outlined cells, unchanged regime). Categories are descriptive and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differ between the Sahel, where extreme rainfall follows heatwaves, and more humid regions, where it accompanies them, and they are shifting towards drought-heat and heat-precipitation regimes.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from locations without any prominent hazard towards regimes dominated by drought-heat coupling and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mean Tmax across the heatwave days, and peak Tmax. In total, 10,743,161 heatwaves were detected.</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This method is recommended by the FAO when only temperature data are available, and it remains numerically stable in tropical regions where temperature-based alternatives (such as the Thornthwaite equation) diverge at sustained temperatures above ~26 °C:</w:t>
      </w:r>
    </w:p>
    <w:p>
      <w:pPr>
        <w:spacing w:after="160"/>
        <w:jc w:val="both"/>
      </w:pPr>
      <w:r>
        <w:t xml:space="preserve">PET = 0.0023 × 0.408 × Ra × (Tmean + 17.8) × (Tmax − Tmin)</w:t>
      </w:r>
      <w:r>
        <w:rPr>
          <w:vertAlign w:val="superscript"/>
        </w:rPr>
        <w:t xml:space="preserve">0.5</w:t>
      </w:r>
    </w:p>
    <w:p>
      <w:pPr>
        <w:spacing w:after="160"/>
        <w:jc w:val="both"/>
      </w:pPr>
      <w:r>
        <w:t xml:space="preserve">where Ra is extraterrestrial radiation (MJ m⁻² d⁻¹) computed as a function of latitude and day of the year following FAO Irrigation and Drainage Paper 56</w:t>
      </w:r>
      <w:r>
        <w:rPr>
          <w:vertAlign w:val="superscript"/>
        </w:rPr>
        <w:t xml:space="preserve">39</w:t>
      </w:r>
      <w:r>
        <w:t xml:space="preserve"> (solar constant Gsc = 0.0820 MJ m⁻² min⁻¹), Tmean = (Tmax + Tmin) / 2, and the factor 0.408 converts MJ m⁻² to millimetres of water evaporated. We calculated monthly PET by applying the formula to monthly mean values of Tmax, Tmin and Ra and multiplying by the number of days in the month. The monthly climatic water balance, D = P − PET, was then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We applied the cumulative distribution function to the full series and transformed the resulting probabilities into SPEI values using the inverse standard normal function, clipping values beyond ±3.5. As a comparison, the 3-month Standardized Precipitation Index (SPI-3)</w:t>
      </w:r>
      <w:r>
        <w:rPr>
          <w:vertAlign w:val="superscript"/>
        </w:rPr>
        <w:t xml:space="preserve">41</w:t>
      </w:r>
      <w:r>
        <w:t xml:space="preserve">, based on precipitation only, was computed in the same way with a gamma distribution.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Because the three metrics have different units, a relative rule was used: an event type was prominent in a PSU when its 1985-2024 value was strictly above the 75th percentile of all classifiable PSUs, giving eight mutually exclusive regimes. The after-to-before ratio was computed with 0.5 added to both counts (Haldane-Anscombe correction), so that it is defined where no EPE preceded heatwaves; PSUs without any EPE around heatwaves or without an SPEI-3 value were labelled as having insufficient data. Regime shares were compared with their expectation under spatial independence (product of the per-type shares of prominent PSUs). Decadal regimes use the same thresholds; transitions between the first and last decades were computed on the PSUs classifiable in both and compared with chance.</w:t>
      </w:r>
    </w:p>
    <w:p>
      <w:pPr>
        <w:spacing w:after="160"/>
        <w:jc w:val="both"/>
      </w:pPr>
      <w:r>
        <w:rPr>
          <w:b/>
          <w:bCs/>
        </w:rPr>
        <w:t xml:space="preserve">Sensitivity analyses.</w:t>
      </w:r>
      <w:r>
        <w:t xml:space="preserve"> Each key choice was varied in turn, all other settings unchanged: (i) a calendar-day heatwave threshold (90th percentile of the 1985-2014 values in a 31-day window centred on each calendar day), with the three event types, the null model and the trends recomputed (Extended Data Fig. S12); (ii) windows of ±7 to ±60 days, and the exclusion of EPEs within 1 to 5 days of the heatwave boundaries, for the after-to-before ratio (Extended Data Fig. S8a,b; Supplementary Table S4); (iii) drought taken in the onset month (lag 0), defined with SPI-3, or with thresholds of −0.5, −1.5 and −2 (Extended Data Figs. S8c–e and S10; Supplementary Table S4); (iv) the upper tercile as regime threshold and a minimum of 10 EPEs and 10 heatwaves with an SPEI-3 value per cluster (Extended Data Fig. S13).</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Sensitivity of compound-hazard regimes.</w:t>
      </w:r>
      <w:r>
        <w:t xml:space="preserve"> </w:t>
      </w:r>
      <w:r>
        <w:rPr>
          <w:b/>
          <w:bCs/>
        </w:rPr>
        <w:t xml:space="preserve">a</w:t>
      </w:r>
      <w:r>
        <w:t xml:space="preserve">, Regimes with the upper tercile as prominence threshold. </w:t>
      </w:r>
      <w:r>
        <w:rPr>
          <w:b/>
          <w:bCs/>
        </w:rPr>
        <w:t xml:space="preserve">b</w:t>
      </w:r>
      <w:r>
        <w:t xml:space="preserve">, Regimes with a minimum of 10 extreme precipitation events and 10 heatwaves with an SPEI-3 value per cluster. Panels as in Fig. 6.</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2026-10-13T21:44:50.369Z</dcterms:created>
  <dcterms:modified xsi:type="dcterms:W3CDTF">2026-10-13T21:44:50.377Z</dcterms:modified>
</cp:coreProperties>
</file>

<file path=docProps/custom.xml><?xml version="1.0" encoding="utf-8"?>
<Properties xmlns="http://schemas.openxmlformats.org/officeDocument/2006/custom-properties" xmlns:vt="http://schemas.openxmlformats.org/officeDocument/2006/docPropsVTypes"/>
</file>