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F8321" w14:textId="2F8D9BB7" w:rsidR="00951FDB" w:rsidRDefault="00AB2194">
      <w:r>
        <w:t xml:space="preserve">This document builds on </w:t>
      </w:r>
      <w:r w:rsidR="00951FDB">
        <w:t>“Aim 2 predictors.docx”</w:t>
      </w:r>
      <w:r>
        <w:t xml:space="preserve">.  </w:t>
      </w:r>
      <w:r w:rsidR="00951FDB">
        <w:t>Unlike in those documents, for this analysis all “fig|83333.1.rna.x” genes were excluded, leaving only “fig|83333.1.peg.x”</w:t>
      </w:r>
      <w:r>
        <w:t xml:space="preserve"> genes.  Also, some of the definitions of predictors have subtly changed, most notably SStat – we are now using LogSStat instead for numerical reasons.  </w:t>
      </w:r>
    </w:p>
    <w:p w14:paraId="070CFD36" w14:textId="00A780B3" w:rsidR="00951FDB" w:rsidRDefault="00951FDB" w:rsidP="00951FDB">
      <w:pPr>
        <w:pStyle w:val="Heading1"/>
      </w:pPr>
      <w:r>
        <w:t>Updated list of predictors with definitions</w:t>
      </w:r>
    </w:p>
    <w:p w14:paraId="0B2E5030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Mean of the gene’s eijs (</w:t>
      </w:r>
      <w:r w:rsidRPr="00C63535">
        <w:rPr>
          <w:rFonts w:eastAsia="Times New Roman" w:cs="Times New Roman"/>
          <w:b/>
          <w:color w:val="000000"/>
        </w:rPr>
        <w:t>MeanEij</w:t>
      </w:r>
      <w:r>
        <w:rPr>
          <w:rFonts w:eastAsia="Times New Roman" w:cs="Times New Roman"/>
          <w:color w:val="000000"/>
        </w:rPr>
        <w:t>)</w:t>
      </w:r>
    </w:p>
    <w:p w14:paraId="0AC6EAA7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SD of the gene’s eijs  (</w:t>
      </w:r>
      <w:r w:rsidRPr="00C63535">
        <w:rPr>
          <w:rFonts w:eastAsia="Times New Roman" w:cs="Times New Roman"/>
          <w:b/>
          <w:color w:val="000000"/>
        </w:rPr>
        <w:t>SDEij</w:t>
      </w:r>
      <w:r>
        <w:rPr>
          <w:rFonts w:eastAsia="Times New Roman" w:cs="Times New Roman"/>
          <w:color w:val="000000"/>
        </w:rPr>
        <w:t>)</w:t>
      </w:r>
    </w:p>
    <w:p w14:paraId="0C24B867" w14:textId="59797A9D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Multi BIC flag</w:t>
      </w:r>
      <w:r w:rsidR="00082DCA">
        <w:rPr>
          <w:rFonts w:eastAsia="Times New Roman" w:cs="Times New Roman"/>
          <w:color w:val="000000"/>
        </w:rPr>
        <w:t xml:space="preserve"> – no bonus or offset, just simply whether the 1-component model fit better than the 2-component one</w:t>
      </w:r>
      <w:r>
        <w:rPr>
          <w:rFonts w:eastAsia="Times New Roman" w:cs="Times New Roman"/>
          <w:color w:val="000000"/>
        </w:rPr>
        <w:t xml:space="preserve">  (</w:t>
      </w:r>
      <w:r w:rsidRPr="00C63535">
        <w:rPr>
          <w:rFonts w:eastAsia="Times New Roman" w:cs="Times New Roman"/>
          <w:b/>
          <w:color w:val="000000"/>
        </w:rPr>
        <w:t>MultiBIC</w:t>
      </w:r>
      <w:r>
        <w:rPr>
          <w:rFonts w:eastAsia="Times New Roman" w:cs="Times New Roman"/>
          <w:color w:val="000000"/>
        </w:rPr>
        <w:t>)</w:t>
      </w:r>
    </w:p>
    <w:p w14:paraId="77C2EF94" w14:textId="7F96FBB0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Uni BIC flag</w:t>
      </w:r>
      <w:r w:rsidR="00082DCA">
        <w:rPr>
          <w:rFonts w:eastAsia="Times New Roman" w:cs="Times New Roman"/>
          <w:color w:val="000000"/>
        </w:rPr>
        <w:t xml:space="preserve"> (same as the Multi one except univariate)</w:t>
      </w:r>
      <w:r>
        <w:rPr>
          <w:rFonts w:eastAsia="Times New Roman" w:cs="Times New Roman"/>
          <w:color w:val="000000"/>
        </w:rPr>
        <w:t xml:space="preserve">  (</w:t>
      </w:r>
      <w:r w:rsidRPr="00C63535">
        <w:rPr>
          <w:rFonts w:eastAsia="Times New Roman" w:cs="Times New Roman"/>
          <w:b/>
          <w:color w:val="000000"/>
        </w:rPr>
        <w:t>UniBIC</w:t>
      </w:r>
      <w:r>
        <w:rPr>
          <w:rFonts w:eastAsia="Times New Roman" w:cs="Times New Roman"/>
          <w:color w:val="000000"/>
        </w:rPr>
        <w:t>)</w:t>
      </w:r>
    </w:p>
    <w:p w14:paraId="0C6DE865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Mean of the gene’s aijs  (</w:t>
      </w:r>
      <w:r w:rsidRPr="00C63535">
        <w:rPr>
          <w:rFonts w:eastAsia="Times New Roman" w:cs="Times New Roman"/>
          <w:b/>
          <w:color w:val="000000"/>
        </w:rPr>
        <w:t>MeanAij</w:t>
      </w:r>
      <w:r>
        <w:rPr>
          <w:rFonts w:eastAsia="Times New Roman" w:cs="Times New Roman"/>
          <w:color w:val="000000"/>
        </w:rPr>
        <w:t>)</w:t>
      </w:r>
    </w:p>
    <w:p w14:paraId="6F792642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Percent of the gene’s aijs which were &lt; 0.5  (</w:t>
      </w:r>
      <w:r w:rsidRPr="00C63535">
        <w:rPr>
          <w:rFonts w:eastAsia="Times New Roman" w:cs="Times New Roman"/>
          <w:b/>
          <w:color w:val="000000"/>
        </w:rPr>
        <w:t>%off</w:t>
      </w:r>
      <w:r>
        <w:rPr>
          <w:rFonts w:eastAsia="Times New Roman" w:cs="Times New Roman"/>
          <w:color w:val="000000"/>
        </w:rPr>
        <w:t>)</w:t>
      </w:r>
    </w:p>
    <w:p w14:paraId="15BD9B54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Number of scenarios the gene is in  (</w:t>
      </w:r>
      <w:r w:rsidRPr="00C63535">
        <w:rPr>
          <w:rFonts w:eastAsia="Times New Roman" w:cs="Times New Roman"/>
          <w:b/>
          <w:color w:val="000000"/>
        </w:rPr>
        <w:t>NumSc</w:t>
      </w:r>
      <w:r>
        <w:rPr>
          <w:rFonts w:eastAsia="Times New Roman" w:cs="Times New Roman"/>
          <w:color w:val="000000"/>
        </w:rPr>
        <w:t>)</w:t>
      </w:r>
    </w:p>
    <w:p w14:paraId="25FCA7FB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Rank of the gene’s scenarios’ names lexicographically (genes without scenarios will be first in the ranking, then alphabetically by the gene’s first scenario, ties broken by gene’s second scenario, etc)  (</w:t>
      </w:r>
      <w:r w:rsidRPr="00C63535">
        <w:rPr>
          <w:rFonts w:eastAsia="Times New Roman" w:cs="Times New Roman"/>
          <w:b/>
          <w:color w:val="000000"/>
        </w:rPr>
        <w:t>ScName</w:t>
      </w:r>
      <w:r>
        <w:rPr>
          <w:rFonts w:eastAsia="Times New Roman" w:cs="Times New Roman"/>
          <w:color w:val="000000"/>
        </w:rPr>
        <w:t>)</w:t>
      </w:r>
    </w:p>
    <w:p w14:paraId="68C50014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Number of genes in the gene’s operon  (</w:t>
      </w:r>
      <w:r w:rsidRPr="00C63535">
        <w:rPr>
          <w:rFonts w:eastAsia="Times New Roman" w:cs="Times New Roman"/>
          <w:b/>
          <w:color w:val="000000"/>
        </w:rPr>
        <w:t>NumOp</w:t>
      </w:r>
      <w:r>
        <w:rPr>
          <w:rFonts w:eastAsia="Times New Roman" w:cs="Times New Roman"/>
          <w:color w:val="000000"/>
        </w:rPr>
        <w:t>)</w:t>
      </w:r>
    </w:p>
    <w:p w14:paraId="68A0EC6F" w14:textId="3C22BFED" w:rsidR="00951FDB" w:rsidRPr="00AF1E34" w:rsidRDefault="00D2028C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gene’s peg ID</w:t>
      </w:r>
      <w:r w:rsidR="00951FDB">
        <w:rPr>
          <w:rFonts w:eastAsia="Times New Roman" w:cs="Times New Roman"/>
          <w:color w:val="000000"/>
        </w:rPr>
        <w:t xml:space="preserve">  (</w:t>
      </w:r>
      <w:r w:rsidR="00951FDB" w:rsidRPr="00C63535">
        <w:rPr>
          <w:rFonts w:eastAsia="Times New Roman" w:cs="Times New Roman"/>
          <w:b/>
          <w:color w:val="000000"/>
        </w:rPr>
        <w:t>PegID</w:t>
      </w:r>
      <w:r w:rsidR="00951FDB">
        <w:rPr>
          <w:rFonts w:eastAsia="Times New Roman" w:cs="Times New Roman"/>
          <w:color w:val="000000"/>
        </w:rPr>
        <w:t>)</w:t>
      </w:r>
    </w:p>
    <w:p w14:paraId="009B511E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AF1E34">
        <w:rPr>
          <w:rFonts w:eastAsia="Times New Roman" w:cs="Times New Roman"/>
          <w:color w:val="000000"/>
        </w:rPr>
        <w:t>Rank of the gene's common name alphabetically</w:t>
      </w:r>
      <w:r>
        <w:rPr>
          <w:rFonts w:eastAsia="Times New Roman" w:cs="Times New Roman"/>
          <w:color w:val="000000"/>
        </w:rPr>
        <w:t xml:space="preserve">  (</w:t>
      </w:r>
      <w:r w:rsidRPr="00C63535">
        <w:rPr>
          <w:rFonts w:eastAsia="Times New Roman" w:cs="Times New Roman"/>
          <w:b/>
          <w:color w:val="000000"/>
        </w:rPr>
        <w:t>ComName</w:t>
      </w:r>
      <w:r>
        <w:rPr>
          <w:rFonts w:eastAsia="Times New Roman" w:cs="Times New Roman"/>
          <w:color w:val="000000"/>
        </w:rPr>
        <w:t>)</w:t>
      </w:r>
    </w:p>
    <w:p w14:paraId="6183A9DD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Pre-existing weighted score (the components and weighting are documented in an email)  (</w:t>
      </w:r>
      <w:r w:rsidRPr="00C63535">
        <w:rPr>
          <w:rFonts w:eastAsia="Times New Roman" w:cs="Times New Roman"/>
          <w:b/>
          <w:color w:val="000000"/>
        </w:rPr>
        <w:t>WScore</w:t>
      </w:r>
      <w:r>
        <w:rPr>
          <w:rFonts w:eastAsia="Times New Roman" w:cs="Times New Roman"/>
          <w:color w:val="000000"/>
        </w:rPr>
        <w:t>)</w:t>
      </w:r>
    </w:p>
    <w:p w14:paraId="13186572" w14:textId="5AD7B010" w:rsidR="00951FDB" w:rsidRDefault="00D2028C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Log of the S statistic, where the S statistic is the probability the gene is</w:t>
      </w:r>
      <w:r w:rsidR="00951FDB">
        <w:rPr>
          <w:rFonts w:eastAsia="Times New Roman" w:cs="Times New Roman"/>
          <w:color w:val="000000"/>
        </w:rPr>
        <w:t xml:space="preserve"> always-inactive, assuming the aijs are calibrated</w:t>
      </w:r>
      <w:r>
        <w:rPr>
          <w:rFonts w:eastAsia="Times New Roman" w:cs="Times New Roman"/>
          <w:color w:val="000000"/>
        </w:rPr>
        <w:t xml:space="preserve"> and experiments are independent</w:t>
      </w:r>
      <w:r w:rsidR="00951FDB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 xml:space="preserve">  I.e., take each of the gene’s 907 aijs (one for each experiment), subtract them from 1 to find the probability the gene was inactive in each experiment, and multiply them all together to find the probability the gene is inactive in all experiments.</w:t>
      </w:r>
      <w:r w:rsidR="00951FDB">
        <w:rPr>
          <w:rFonts w:eastAsia="Times New Roman" w:cs="Times New Roman"/>
          <w:color w:val="000000"/>
        </w:rPr>
        <w:t xml:space="preserve">  (</w:t>
      </w:r>
      <w:r w:rsidRPr="00D2028C">
        <w:rPr>
          <w:rFonts w:eastAsia="Times New Roman" w:cs="Times New Roman"/>
          <w:b/>
          <w:color w:val="000000"/>
        </w:rPr>
        <w:t>Log</w:t>
      </w:r>
      <w:r w:rsidR="00951FDB" w:rsidRPr="00C63535">
        <w:rPr>
          <w:rFonts w:eastAsia="Times New Roman" w:cs="Times New Roman"/>
          <w:b/>
          <w:color w:val="000000"/>
        </w:rPr>
        <w:t>SStat</w:t>
      </w:r>
      <w:r w:rsidR="00951FDB">
        <w:rPr>
          <w:rFonts w:eastAsia="Times New Roman" w:cs="Times New Roman"/>
          <w:color w:val="000000"/>
        </w:rPr>
        <w:t>)</w:t>
      </w:r>
    </w:p>
    <w:p w14:paraId="29F88368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Maximum correlation between the gene and any other gene  (</w:t>
      </w:r>
      <w:r w:rsidRPr="00C63535">
        <w:rPr>
          <w:rFonts w:eastAsia="Times New Roman" w:cs="Times New Roman"/>
          <w:b/>
          <w:color w:val="000000"/>
        </w:rPr>
        <w:t>MaxCor</w:t>
      </w:r>
      <w:r>
        <w:rPr>
          <w:rFonts w:eastAsia="Times New Roman" w:cs="Times New Roman"/>
          <w:color w:val="000000"/>
        </w:rPr>
        <w:t>)</w:t>
      </w:r>
    </w:p>
    <w:p w14:paraId="3DD60113" w14:textId="76B2B51F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Peg ID of the gene the gene has maximum correlation with  (</w:t>
      </w:r>
      <w:r w:rsidRPr="00C63535">
        <w:rPr>
          <w:rFonts w:eastAsia="Times New Roman" w:cs="Times New Roman"/>
          <w:b/>
          <w:color w:val="000000"/>
        </w:rPr>
        <w:t>PegMaxCor</w:t>
      </w:r>
      <w:r>
        <w:rPr>
          <w:rFonts w:eastAsia="Times New Roman" w:cs="Times New Roman"/>
          <w:color w:val="000000"/>
        </w:rPr>
        <w:t>)</w:t>
      </w:r>
    </w:p>
    <w:p w14:paraId="55F41D01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Minimum correlation between the gene and any other gene (strongest anti-correlation)  (</w:t>
      </w:r>
      <w:r w:rsidRPr="00C63535">
        <w:rPr>
          <w:rFonts w:eastAsia="Times New Roman" w:cs="Times New Roman"/>
          <w:b/>
          <w:color w:val="000000"/>
        </w:rPr>
        <w:t>MinCor</w:t>
      </w:r>
      <w:r>
        <w:rPr>
          <w:rFonts w:eastAsia="Times New Roman" w:cs="Times New Roman"/>
          <w:color w:val="000000"/>
        </w:rPr>
        <w:t>)</w:t>
      </w:r>
    </w:p>
    <w:p w14:paraId="110986CF" w14:textId="20647872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Peg ID of the gene the gene has minimum correlation with.  (</w:t>
      </w:r>
      <w:r w:rsidRPr="00C63535">
        <w:rPr>
          <w:rFonts w:eastAsia="Times New Roman" w:cs="Times New Roman"/>
          <w:b/>
          <w:color w:val="000000"/>
        </w:rPr>
        <w:t>PegMinCor</w:t>
      </w:r>
      <w:r>
        <w:rPr>
          <w:rFonts w:eastAsia="Times New Roman" w:cs="Times New Roman"/>
          <w:color w:val="000000"/>
        </w:rPr>
        <w:t>)</w:t>
      </w:r>
    </w:p>
    <w:p w14:paraId="358565B4" w14:textId="77777777" w:rsidR="00951FDB" w:rsidRDefault="00951FDB" w:rsidP="00951FDB">
      <w:pPr>
        <w:keepNext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Maximum correlation of the gene with any of its operon-mates.  Genes with no operon-mates are assigned 1 as their maximum correlation with any operon-mate; this strongly influences the distribution of these correlations, though, and perhaps should be reconsidered?  (</w:t>
      </w:r>
      <w:r w:rsidRPr="00C63535">
        <w:rPr>
          <w:rFonts w:eastAsia="Times New Roman" w:cs="Times New Roman"/>
          <w:b/>
          <w:color w:val="000000"/>
        </w:rPr>
        <w:t>MaxCorOp</w:t>
      </w:r>
      <w:r>
        <w:rPr>
          <w:rFonts w:eastAsia="Times New Roman" w:cs="Times New Roman"/>
          <w:color w:val="000000"/>
        </w:rPr>
        <w:t>)</w:t>
      </w:r>
    </w:p>
    <w:p w14:paraId="599B6E33" w14:textId="4BAD4456" w:rsidR="00951FDB" w:rsidRDefault="008917DB" w:rsidP="00951FDB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>
        <w:rPr>
          <w:rFonts w:ascii="Calibri" w:eastAsia="Times New Roman" w:hAnsi="Calibri" w:cs="Times New Roman"/>
          <w:color w:val="000000"/>
          <w:szCs w:val="24"/>
        </w:rPr>
        <w:t>As before, t</w:t>
      </w:r>
      <w:r w:rsidR="00951FDB">
        <w:rPr>
          <w:rFonts w:ascii="Calibri" w:eastAsia="Times New Roman" w:hAnsi="Calibri" w:cs="Times New Roman"/>
          <w:color w:val="000000"/>
          <w:szCs w:val="24"/>
        </w:rPr>
        <w:t xml:space="preserve">ies for any of the “rank” predictors are broken at random, and the random tiebreak is recomputed every time the code is run. </w:t>
      </w:r>
    </w:p>
    <w:p w14:paraId="1EABB108" w14:textId="110BEC4F" w:rsidR="00315470" w:rsidRDefault="00315470" w:rsidP="00315470">
      <w:pPr>
        <w:pStyle w:val="Heading1"/>
        <w:rPr>
          <w:rFonts w:eastAsia="Times New Roman"/>
        </w:rPr>
      </w:pPr>
      <w:r>
        <w:rPr>
          <w:rFonts w:eastAsia="Times New Roman"/>
        </w:rPr>
        <w:t>Individual GLM testing</w:t>
      </w:r>
    </w:p>
    <w:p w14:paraId="11755CCE" w14:textId="4E8AC299" w:rsidR="00315470" w:rsidRDefault="00315470" w:rsidP="00315470">
      <w:r>
        <w:t xml:space="preserve">Unlike the previous GLM testing, this analysis considers each predictor one-by-one – that is, each one is run in its own GLM with no covariates, and a p-value is obtained. </w:t>
      </w:r>
      <w:r w:rsidR="0008240D">
        <w:t xml:space="preserve"> Because the testing was conducted this way, WScore was left in the analysis for comparison, unlike previous GLMs.  As before, family=binomial(logit) was used. </w:t>
      </w:r>
    </w:p>
    <w:p w14:paraId="58381033" w14:textId="0088A5F0" w:rsidR="00DB5269" w:rsidRDefault="007A373E" w:rsidP="004946BE">
      <w:pPr>
        <w:spacing w:line="276" w:lineRule="auto"/>
      </w:pPr>
      <w:r>
        <w:lastRenderedPageBreak/>
        <w:t xml:space="preserve">Even in this individual GLM testing, </w:t>
      </w:r>
      <w:r w:rsidR="00D923E4">
        <w:t>M</w:t>
      </w:r>
      <w:r w:rsidR="00A206A1">
        <w:t>ultiBIC</w:t>
      </w:r>
      <w:r>
        <w:t xml:space="preserve"> and UniBIC were still performing extremely poorly (p=0.958 and p=0.963 respectively), similar to what was observed in the previous GLM testing.  </w:t>
      </w:r>
      <w:r w:rsidR="00D923E4">
        <w:t xml:space="preserve">I found this very strange, so </w:t>
      </w:r>
      <w:r w:rsidR="00DB5269">
        <w:t>I m</w:t>
      </w:r>
      <w:r w:rsidR="004946BE">
        <w:t xml:space="preserve">ade contingency tables for how well MultiBIC and UniBIC line up with the correct answers.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710"/>
      </w:tblGrid>
      <w:tr w:rsidR="004946BE" w14:paraId="3D1A841E" w14:textId="77777777" w:rsidTr="007A373E">
        <w:tc>
          <w:tcPr>
            <w:tcW w:w="1345" w:type="dxa"/>
          </w:tcPr>
          <w:p w14:paraId="623AFEB9" w14:textId="77777777" w:rsidR="004946BE" w:rsidRDefault="004946BE" w:rsidP="004946BE">
            <w:pPr>
              <w:spacing w:line="276" w:lineRule="auto"/>
            </w:pPr>
          </w:p>
        </w:tc>
        <w:tc>
          <w:tcPr>
            <w:tcW w:w="1620" w:type="dxa"/>
          </w:tcPr>
          <w:p w14:paraId="0C4AE8EF" w14:textId="43B159CE" w:rsidR="004946BE" w:rsidRDefault="004946BE" w:rsidP="004946BE">
            <w:pPr>
              <w:spacing w:line="276" w:lineRule="auto"/>
            </w:pPr>
            <w:r>
              <w:t>Always-Inactive</w:t>
            </w:r>
          </w:p>
        </w:tc>
        <w:tc>
          <w:tcPr>
            <w:tcW w:w="1710" w:type="dxa"/>
          </w:tcPr>
          <w:p w14:paraId="30D6D79E" w14:textId="757FDE2B" w:rsidR="004946BE" w:rsidRDefault="004946BE" w:rsidP="004946BE">
            <w:pPr>
              <w:spacing w:line="276" w:lineRule="auto"/>
            </w:pPr>
            <w:r>
              <w:t>Always-Active or Changing State</w:t>
            </w:r>
          </w:p>
        </w:tc>
      </w:tr>
      <w:tr w:rsidR="004946BE" w14:paraId="6FE71B29" w14:textId="77777777" w:rsidTr="007A373E">
        <w:tc>
          <w:tcPr>
            <w:tcW w:w="1345" w:type="dxa"/>
          </w:tcPr>
          <w:p w14:paraId="3D4B43D2" w14:textId="40ABAD59" w:rsidR="004946BE" w:rsidRDefault="004946BE" w:rsidP="004946BE">
            <w:pPr>
              <w:spacing w:line="276" w:lineRule="auto"/>
            </w:pPr>
            <w:r>
              <w:t>MultiBIC Flagged</w:t>
            </w:r>
          </w:p>
        </w:tc>
        <w:tc>
          <w:tcPr>
            <w:tcW w:w="1620" w:type="dxa"/>
          </w:tcPr>
          <w:p w14:paraId="0B75AFBA" w14:textId="0761BA7A" w:rsidR="004946BE" w:rsidRDefault="004946BE" w:rsidP="004946BE">
            <w:pPr>
              <w:spacing w:line="276" w:lineRule="auto"/>
            </w:pPr>
            <w:r>
              <w:t>13.0%</w:t>
            </w:r>
          </w:p>
        </w:tc>
        <w:tc>
          <w:tcPr>
            <w:tcW w:w="1710" w:type="dxa"/>
          </w:tcPr>
          <w:p w14:paraId="3CE31D48" w14:textId="457B1547" w:rsidR="004946BE" w:rsidRDefault="004946BE" w:rsidP="004946BE">
            <w:pPr>
              <w:spacing w:line="276" w:lineRule="auto"/>
            </w:pPr>
            <w:r>
              <w:t>23.1%</w:t>
            </w:r>
          </w:p>
        </w:tc>
      </w:tr>
      <w:tr w:rsidR="004946BE" w14:paraId="5D026A0F" w14:textId="77777777" w:rsidTr="007A373E">
        <w:tc>
          <w:tcPr>
            <w:tcW w:w="1345" w:type="dxa"/>
          </w:tcPr>
          <w:p w14:paraId="1009E317" w14:textId="1525F864" w:rsidR="004946BE" w:rsidRDefault="004946BE" w:rsidP="004946BE">
            <w:pPr>
              <w:spacing w:line="276" w:lineRule="auto"/>
            </w:pPr>
            <w:r>
              <w:t>MultiBIC Not Flagged</w:t>
            </w:r>
          </w:p>
        </w:tc>
        <w:tc>
          <w:tcPr>
            <w:tcW w:w="1620" w:type="dxa"/>
          </w:tcPr>
          <w:p w14:paraId="6659B21C" w14:textId="4B3B8554" w:rsidR="004946BE" w:rsidRDefault="004946BE" w:rsidP="004946BE">
            <w:pPr>
              <w:spacing w:line="276" w:lineRule="auto"/>
            </w:pPr>
            <w:r>
              <w:t>0%</w:t>
            </w:r>
          </w:p>
        </w:tc>
        <w:tc>
          <w:tcPr>
            <w:tcW w:w="1710" w:type="dxa"/>
          </w:tcPr>
          <w:p w14:paraId="1A12C453" w14:textId="1DEC0FCC" w:rsidR="004946BE" w:rsidRDefault="004946BE" w:rsidP="004946BE">
            <w:pPr>
              <w:spacing w:line="276" w:lineRule="auto"/>
            </w:pPr>
            <w:r>
              <w:t>63.9%</w:t>
            </w:r>
          </w:p>
        </w:tc>
      </w:tr>
    </w:tbl>
    <w:p w14:paraId="3D0FF2AA" w14:textId="77777777" w:rsidR="004946BE" w:rsidRDefault="004946BE" w:rsidP="004946BE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710"/>
      </w:tblGrid>
      <w:tr w:rsidR="007A373E" w14:paraId="7B31C3F0" w14:textId="77777777" w:rsidTr="00C85798">
        <w:tc>
          <w:tcPr>
            <w:tcW w:w="1345" w:type="dxa"/>
          </w:tcPr>
          <w:p w14:paraId="3B751931" w14:textId="77777777" w:rsidR="007A373E" w:rsidRDefault="007A373E" w:rsidP="00C85798">
            <w:pPr>
              <w:spacing w:line="276" w:lineRule="auto"/>
            </w:pPr>
          </w:p>
        </w:tc>
        <w:tc>
          <w:tcPr>
            <w:tcW w:w="1620" w:type="dxa"/>
          </w:tcPr>
          <w:p w14:paraId="16542DC4" w14:textId="77777777" w:rsidR="007A373E" w:rsidRDefault="007A373E" w:rsidP="00C85798">
            <w:pPr>
              <w:spacing w:line="276" w:lineRule="auto"/>
            </w:pPr>
            <w:r>
              <w:t>Always-Inactive</w:t>
            </w:r>
          </w:p>
        </w:tc>
        <w:tc>
          <w:tcPr>
            <w:tcW w:w="1710" w:type="dxa"/>
          </w:tcPr>
          <w:p w14:paraId="366C7E30" w14:textId="77777777" w:rsidR="007A373E" w:rsidRDefault="007A373E" w:rsidP="00C85798">
            <w:pPr>
              <w:spacing w:line="276" w:lineRule="auto"/>
            </w:pPr>
            <w:r>
              <w:t>Always-Active or Changing State</w:t>
            </w:r>
          </w:p>
        </w:tc>
      </w:tr>
      <w:tr w:rsidR="007A373E" w14:paraId="17BDFAFC" w14:textId="77777777" w:rsidTr="00C85798">
        <w:tc>
          <w:tcPr>
            <w:tcW w:w="1345" w:type="dxa"/>
          </w:tcPr>
          <w:p w14:paraId="3F36B97C" w14:textId="47346EB3" w:rsidR="007A373E" w:rsidRDefault="007A373E" w:rsidP="00C85798">
            <w:pPr>
              <w:spacing w:line="276" w:lineRule="auto"/>
            </w:pPr>
            <w:r>
              <w:t>UniBIC Flagged</w:t>
            </w:r>
          </w:p>
        </w:tc>
        <w:tc>
          <w:tcPr>
            <w:tcW w:w="1620" w:type="dxa"/>
          </w:tcPr>
          <w:p w14:paraId="3176A815" w14:textId="77777777" w:rsidR="007A373E" w:rsidRDefault="007A373E" w:rsidP="00C85798">
            <w:pPr>
              <w:spacing w:line="276" w:lineRule="auto"/>
            </w:pPr>
            <w:r>
              <w:t>13.0%</w:t>
            </w:r>
          </w:p>
        </w:tc>
        <w:tc>
          <w:tcPr>
            <w:tcW w:w="1710" w:type="dxa"/>
          </w:tcPr>
          <w:p w14:paraId="301B05E5" w14:textId="723D0E6E" w:rsidR="007A373E" w:rsidRDefault="007A373E" w:rsidP="00C85798">
            <w:pPr>
              <w:spacing w:line="276" w:lineRule="auto"/>
            </w:pPr>
            <w:r>
              <w:t>34.4%</w:t>
            </w:r>
          </w:p>
        </w:tc>
      </w:tr>
      <w:tr w:rsidR="007A373E" w14:paraId="5B0D61EF" w14:textId="77777777" w:rsidTr="00C85798">
        <w:tc>
          <w:tcPr>
            <w:tcW w:w="1345" w:type="dxa"/>
          </w:tcPr>
          <w:p w14:paraId="3AC9FACC" w14:textId="77777777" w:rsidR="007A373E" w:rsidRDefault="007A373E" w:rsidP="00C85798">
            <w:pPr>
              <w:spacing w:line="276" w:lineRule="auto"/>
            </w:pPr>
            <w:r>
              <w:t xml:space="preserve">UniBIC </w:t>
            </w:r>
          </w:p>
          <w:p w14:paraId="6E525263" w14:textId="71A72E23" w:rsidR="007A373E" w:rsidRDefault="007A373E" w:rsidP="00C85798">
            <w:pPr>
              <w:spacing w:line="276" w:lineRule="auto"/>
            </w:pPr>
            <w:r>
              <w:t>Not Flagged</w:t>
            </w:r>
          </w:p>
        </w:tc>
        <w:tc>
          <w:tcPr>
            <w:tcW w:w="1620" w:type="dxa"/>
          </w:tcPr>
          <w:p w14:paraId="672F8CAF" w14:textId="77777777" w:rsidR="007A373E" w:rsidRDefault="007A373E" w:rsidP="00C85798">
            <w:pPr>
              <w:spacing w:line="276" w:lineRule="auto"/>
            </w:pPr>
            <w:r>
              <w:t>0%</w:t>
            </w:r>
          </w:p>
        </w:tc>
        <w:tc>
          <w:tcPr>
            <w:tcW w:w="1710" w:type="dxa"/>
          </w:tcPr>
          <w:p w14:paraId="263504FF" w14:textId="0BDBEDFE" w:rsidR="007A373E" w:rsidRDefault="007A373E" w:rsidP="00C85798">
            <w:pPr>
              <w:spacing w:line="276" w:lineRule="auto"/>
            </w:pPr>
            <w:r>
              <w:t>52.6%</w:t>
            </w:r>
          </w:p>
        </w:tc>
      </w:tr>
    </w:tbl>
    <w:p w14:paraId="46646FC2" w14:textId="77777777" w:rsidR="007A373E" w:rsidRDefault="007A373E" w:rsidP="004946BE">
      <w:pPr>
        <w:spacing w:line="276" w:lineRule="auto"/>
      </w:pPr>
    </w:p>
    <w:p w14:paraId="65E8F7C9" w14:textId="2383560B" w:rsidR="00E8643A" w:rsidRDefault="004946BE" w:rsidP="00C142F2">
      <w:pPr>
        <w:spacing w:line="276" w:lineRule="auto"/>
      </w:pPr>
      <w:r>
        <w:t xml:space="preserve">This shows that both MultiBIC and UniBIC correctly flagged all 13.0% of the genes which were actually always-inactive, although with significant numbers of false positives (MultiBIC doing slightly better).  </w:t>
      </w:r>
      <w:r w:rsidR="007A373E">
        <w:t>Examining the detailed logistic-regression</w:t>
      </w:r>
      <w:r w:rsidR="00D74161">
        <w:t xml:space="preserve"> results for MultiBIC, we have a model of -20.57 + 19.99*MultiBIC, with SE of 383.01 on both coefficients. </w:t>
      </w:r>
      <w:r w:rsidR="008917DB">
        <w:t xml:space="preserve"> Thi</w:t>
      </w:r>
      <w:r w:rsidR="00082DCA">
        <w:t>s model implies that</w:t>
      </w:r>
      <w:r w:rsidR="008917DB">
        <w:t xml:space="preserve"> </w:t>
      </w:r>
      <w:r w:rsidR="00082DCA">
        <w:t>the probability of being always-inactive</w:t>
      </w:r>
      <w:r w:rsidR="008917DB">
        <w:t>, given</w:t>
      </w:r>
      <w:r w:rsidR="00082DCA">
        <w:t xml:space="preserve"> not flagged</w:t>
      </w:r>
      <w:r w:rsidR="008917DB">
        <w:t>,</w:t>
      </w:r>
      <w:r w:rsidR="00082DCA">
        <w:t xml:space="preserve"> is </w:t>
      </w:r>
      <m:oMath>
        <m:r>
          <w:rPr>
            <w:rFonts w:ascii="Cambria Math" w:hAnsi="Cambria Math"/>
          </w:rPr>
          <m:t>1.17*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8917DB">
        <w:rPr>
          <w:rFonts w:eastAsiaTheme="minorEastAsia"/>
        </w:rPr>
        <w:t>, and the p</w:t>
      </w:r>
      <w:r w:rsidR="00082DCA">
        <w:t xml:space="preserve">robability of being always-inactive, given flagged, </w:t>
      </w:r>
      <w:r w:rsidR="008917DB">
        <w:t>is</w:t>
      </w:r>
      <w:r w:rsidR="00082DCA">
        <w:t xml:space="preserve"> </w:t>
      </w:r>
      <m:oMath>
        <m:r>
          <w:rPr>
            <w:rFonts w:ascii="Cambria Math" w:hAnsi="Cambria Math"/>
          </w:rPr>
          <m:t>0.359</m:t>
        </m:r>
      </m:oMath>
      <w:r w:rsidR="008917DB">
        <w:rPr>
          <w:rFonts w:eastAsiaTheme="minorEastAsia"/>
        </w:rPr>
        <w:t>.  Both of these are reasonable values; in fact, they’re a</w:t>
      </w:r>
      <w:r w:rsidR="00C142F2">
        <w:t>lmost ide</w:t>
      </w:r>
      <w:r w:rsidR="008917DB">
        <w:t>ntical to the actual probabilities</w:t>
      </w:r>
      <w:r w:rsidR="00C142F2">
        <w:t xml:space="preserve"> computed from the contingency table.  </w:t>
      </w:r>
      <w:r w:rsidR="008917DB">
        <w:t xml:space="preserve">Only the SEs are unreasonably large. </w:t>
      </w:r>
    </w:p>
    <w:p w14:paraId="4C4B142E" w14:textId="6508773B" w:rsidR="00E8643A" w:rsidRDefault="007A373E" w:rsidP="00C142F2">
      <w:pPr>
        <w:spacing w:line="276" w:lineRule="auto"/>
      </w:pPr>
      <w:r>
        <w:t>The problem here, based on further research, is</w:t>
      </w:r>
      <w:r w:rsidR="00E8643A">
        <w:t xml:space="preserve"> that having a 0 in any cell of the contingency table </w:t>
      </w:r>
      <w:r>
        <w:t>sometimes</w:t>
      </w:r>
      <w:r w:rsidR="00E8643A">
        <w:t xml:space="preserve"> cause</w:t>
      </w:r>
      <w:r>
        <w:t>s</w:t>
      </w:r>
      <w:r w:rsidR="00E8643A">
        <w:t xml:space="preserve"> the logistic regression not to converge.  </w:t>
      </w:r>
      <w:r>
        <w:t xml:space="preserve">One fix suggested online </w:t>
      </w:r>
      <w:r w:rsidR="00E8643A">
        <w:t xml:space="preserve">was to add 0.5 to all cell counts.  </w:t>
      </w:r>
      <w:r w:rsidR="00220E63">
        <w:t xml:space="preserve">This not being easy in R, I instead decided to add 1 to all cell counts.  </w:t>
      </w:r>
    </w:p>
    <w:p w14:paraId="506DB759" w14:textId="761CE8BE" w:rsidR="00220E63" w:rsidRDefault="00635CB0" w:rsidP="00C142F2">
      <w:pPr>
        <w:spacing w:line="276" w:lineRule="auto"/>
      </w:pPr>
      <w:r>
        <w:t>H</w:t>
      </w:r>
      <w:r w:rsidR="00220E63">
        <w:t>ere’s the revised results, adding 1 to all cell counts for MultiBIC and UniBIC: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</w:tblGrid>
      <w:tr w:rsidR="00D923E4" w14:paraId="7B6B483C" w14:textId="77777777" w:rsidTr="00DD2183">
        <w:tc>
          <w:tcPr>
            <w:tcW w:w="2605" w:type="dxa"/>
          </w:tcPr>
          <w:p w14:paraId="24F81350" w14:textId="46D039C2" w:rsidR="00D923E4" w:rsidRPr="00D923E4" w:rsidRDefault="00D923E4" w:rsidP="00C142F2">
            <w:pPr>
              <w:spacing w:line="276" w:lineRule="auto"/>
              <w:rPr>
                <w:b/>
              </w:rPr>
            </w:pPr>
            <w:r>
              <w:rPr>
                <w:b/>
              </w:rPr>
              <w:t>Predictor</w:t>
            </w:r>
          </w:p>
        </w:tc>
        <w:tc>
          <w:tcPr>
            <w:tcW w:w="2700" w:type="dxa"/>
          </w:tcPr>
          <w:p w14:paraId="5C09B4D5" w14:textId="3D44AD88" w:rsidR="00D923E4" w:rsidRPr="00D923E4" w:rsidRDefault="00D923E4" w:rsidP="00C142F2">
            <w:pPr>
              <w:spacing w:line="276" w:lineRule="auto"/>
              <w:rPr>
                <w:b/>
              </w:rPr>
            </w:pPr>
            <w:r>
              <w:rPr>
                <w:b/>
              </w:rPr>
              <w:t>Logistic Regression p-value</w:t>
            </w:r>
          </w:p>
        </w:tc>
      </w:tr>
      <w:tr w:rsidR="00D923E4" w14:paraId="660A7DA3" w14:textId="77777777" w:rsidTr="00DD2183">
        <w:tc>
          <w:tcPr>
            <w:tcW w:w="2605" w:type="dxa"/>
          </w:tcPr>
          <w:p w14:paraId="5DBF2579" w14:textId="0EC1FD05" w:rsidR="00D923E4" w:rsidRDefault="00D923E4" w:rsidP="00C142F2">
            <w:pPr>
              <w:spacing w:line="276" w:lineRule="auto"/>
            </w:pPr>
            <w:r>
              <w:t>WScore</w:t>
            </w:r>
          </w:p>
        </w:tc>
        <w:tc>
          <w:tcPr>
            <w:tcW w:w="2700" w:type="dxa"/>
          </w:tcPr>
          <w:p w14:paraId="090D8095" w14:textId="43146EA6" w:rsidR="00D923E4" w:rsidRDefault="00D923E4" w:rsidP="00C142F2">
            <w:pPr>
              <w:spacing w:line="276" w:lineRule="auto"/>
            </w:pPr>
            <w:r>
              <w:t>1e-102</w:t>
            </w:r>
          </w:p>
        </w:tc>
      </w:tr>
      <w:tr w:rsidR="00D923E4" w14:paraId="606E4EA8" w14:textId="77777777" w:rsidTr="00DD2183">
        <w:tc>
          <w:tcPr>
            <w:tcW w:w="2605" w:type="dxa"/>
          </w:tcPr>
          <w:p w14:paraId="3B82C82E" w14:textId="01E5BB3D" w:rsidR="00D923E4" w:rsidRDefault="00D923E4" w:rsidP="00C142F2">
            <w:pPr>
              <w:spacing w:line="276" w:lineRule="auto"/>
            </w:pPr>
            <w:r>
              <w:t>%off</w:t>
            </w:r>
          </w:p>
        </w:tc>
        <w:tc>
          <w:tcPr>
            <w:tcW w:w="2700" w:type="dxa"/>
          </w:tcPr>
          <w:p w14:paraId="2346711E" w14:textId="654CB9F9" w:rsidR="00D923E4" w:rsidRDefault="00D923E4" w:rsidP="00C142F2">
            <w:pPr>
              <w:spacing w:line="276" w:lineRule="auto"/>
            </w:pPr>
            <w:r>
              <w:t>1e-68</w:t>
            </w:r>
          </w:p>
        </w:tc>
      </w:tr>
      <w:tr w:rsidR="00D923E4" w14:paraId="36C761D8" w14:textId="77777777" w:rsidTr="00DD2183">
        <w:tc>
          <w:tcPr>
            <w:tcW w:w="2605" w:type="dxa"/>
          </w:tcPr>
          <w:p w14:paraId="02CC7D2B" w14:textId="4B8762BF" w:rsidR="00D923E4" w:rsidRDefault="00D923E4" w:rsidP="00C142F2">
            <w:pPr>
              <w:spacing w:line="276" w:lineRule="auto"/>
            </w:pPr>
            <w:r>
              <w:t>LogSStat</w:t>
            </w:r>
          </w:p>
        </w:tc>
        <w:tc>
          <w:tcPr>
            <w:tcW w:w="2700" w:type="dxa"/>
          </w:tcPr>
          <w:p w14:paraId="79EA90F1" w14:textId="23E40956" w:rsidR="00D923E4" w:rsidRDefault="00D923E4" w:rsidP="00C142F2">
            <w:pPr>
              <w:spacing w:line="276" w:lineRule="auto"/>
            </w:pPr>
            <w:r>
              <w:t>1e-62</w:t>
            </w:r>
          </w:p>
        </w:tc>
      </w:tr>
      <w:tr w:rsidR="00D923E4" w14:paraId="5835BE74" w14:textId="77777777" w:rsidTr="00DD2183">
        <w:tc>
          <w:tcPr>
            <w:tcW w:w="2605" w:type="dxa"/>
          </w:tcPr>
          <w:p w14:paraId="1A01626E" w14:textId="7E46FACF" w:rsidR="00D923E4" w:rsidRDefault="00D923E4" w:rsidP="00C142F2">
            <w:pPr>
              <w:spacing w:line="276" w:lineRule="auto"/>
            </w:pPr>
            <w:r>
              <w:t>SDEij</w:t>
            </w:r>
          </w:p>
        </w:tc>
        <w:tc>
          <w:tcPr>
            <w:tcW w:w="2700" w:type="dxa"/>
          </w:tcPr>
          <w:p w14:paraId="4229C9F6" w14:textId="0410DDD9" w:rsidR="00D923E4" w:rsidRDefault="00D923E4" w:rsidP="00C142F2">
            <w:pPr>
              <w:spacing w:line="276" w:lineRule="auto"/>
            </w:pPr>
            <w:r>
              <w:t>7e-44</w:t>
            </w:r>
          </w:p>
        </w:tc>
      </w:tr>
      <w:tr w:rsidR="00D923E4" w14:paraId="08E3B6B9" w14:textId="77777777" w:rsidTr="00DD2183">
        <w:tc>
          <w:tcPr>
            <w:tcW w:w="2605" w:type="dxa"/>
          </w:tcPr>
          <w:p w14:paraId="20D84B0C" w14:textId="161B910C" w:rsidR="00D923E4" w:rsidRDefault="00D923E4" w:rsidP="00C142F2">
            <w:pPr>
              <w:spacing w:line="276" w:lineRule="auto"/>
            </w:pPr>
            <w:r>
              <w:t>MeanEij</w:t>
            </w:r>
          </w:p>
        </w:tc>
        <w:tc>
          <w:tcPr>
            <w:tcW w:w="2700" w:type="dxa"/>
          </w:tcPr>
          <w:p w14:paraId="24C3DC36" w14:textId="3A982A37" w:rsidR="00D923E4" w:rsidRDefault="00D923E4" w:rsidP="00C142F2">
            <w:pPr>
              <w:spacing w:line="276" w:lineRule="auto"/>
            </w:pPr>
            <w:r>
              <w:t>5e-37</w:t>
            </w:r>
          </w:p>
        </w:tc>
      </w:tr>
      <w:tr w:rsidR="00D923E4" w14:paraId="61F4FE0E" w14:textId="77777777" w:rsidTr="00DD2183">
        <w:tc>
          <w:tcPr>
            <w:tcW w:w="2605" w:type="dxa"/>
          </w:tcPr>
          <w:p w14:paraId="22E5860A" w14:textId="7A9843F0" w:rsidR="00D923E4" w:rsidRDefault="00D923E4" w:rsidP="00C142F2">
            <w:pPr>
              <w:spacing w:line="276" w:lineRule="auto"/>
            </w:pPr>
            <w:r>
              <w:t>MeanAij</w:t>
            </w:r>
          </w:p>
        </w:tc>
        <w:tc>
          <w:tcPr>
            <w:tcW w:w="2700" w:type="dxa"/>
          </w:tcPr>
          <w:p w14:paraId="5A53F543" w14:textId="3E7344B9" w:rsidR="00D923E4" w:rsidRDefault="00D923E4" w:rsidP="00C142F2">
            <w:pPr>
              <w:spacing w:line="276" w:lineRule="auto"/>
            </w:pPr>
            <w:r>
              <w:t>8e-36</w:t>
            </w:r>
          </w:p>
        </w:tc>
      </w:tr>
      <w:tr w:rsidR="00D923E4" w14:paraId="66E3A8D1" w14:textId="77777777" w:rsidTr="00DD2183">
        <w:tc>
          <w:tcPr>
            <w:tcW w:w="2605" w:type="dxa"/>
          </w:tcPr>
          <w:p w14:paraId="0EC33C73" w14:textId="672054D5" w:rsidR="00D923E4" w:rsidRDefault="00D923E4" w:rsidP="00C142F2">
            <w:pPr>
              <w:spacing w:line="276" w:lineRule="auto"/>
            </w:pPr>
            <w:r>
              <w:t>MultiBIC</w:t>
            </w:r>
          </w:p>
        </w:tc>
        <w:tc>
          <w:tcPr>
            <w:tcW w:w="2700" w:type="dxa"/>
          </w:tcPr>
          <w:p w14:paraId="72F2C7B0" w14:textId="5E63513C" w:rsidR="00D923E4" w:rsidRDefault="00D923E4" w:rsidP="00C142F2">
            <w:pPr>
              <w:spacing w:line="276" w:lineRule="auto"/>
            </w:pPr>
            <w:r>
              <w:t>1e-12</w:t>
            </w:r>
          </w:p>
        </w:tc>
      </w:tr>
      <w:tr w:rsidR="00D923E4" w14:paraId="67D9D4D6" w14:textId="77777777" w:rsidTr="00DD2183">
        <w:tc>
          <w:tcPr>
            <w:tcW w:w="2605" w:type="dxa"/>
          </w:tcPr>
          <w:p w14:paraId="195EEF65" w14:textId="2AC6FF3E" w:rsidR="00D923E4" w:rsidRDefault="00D923E4" w:rsidP="00C142F2">
            <w:pPr>
              <w:spacing w:line="276" w:lineRule="auto"/>
            </w:pPr>
            <w:r>
              <w:t>UniBIC</w:t>
            </w:r>
          </w:p>
        </w:tc>
        <w:tc>
          <w:tcPr>
            <w:tcW w:w="2700" w:type="dxa"/>
          </w:tcPr>
          <w:p w14:paraId="6A12A1E6" w14:textId="2F3ABDC6" w:rsidR="00D923E4" w:rsidRDefault="00D923E4" w:rsidP="00C142F2">
            <w:pPr>
              <w:spacing w:line="276" w:lineRule="auto"/>
            </w:pPr>
            <w:r>
              <w:t>8e-11</w:t>
            </w:r>
          </w:p>
        </w:tc>
      </w:tr>
      <w:tr w:rsidR="00D923E4" w14:paraId="1A89C7F9" w14:textId="77777777" w:rsidTr="00DD2183">
        <w:tc>
          <w:tcPr>
            <w:tcW w:w="2605" w:type="dxa"/>
          </w:tcPr>
          <w:p w14:paraId="3592AE8A" w14:textId="32C94CC3" w:rsidR="00D923E4" w:rsidRDefault="00D923E4" w:rsidP="00C142F2">
            <w:pPr>
              <w:spacing w:line="276" w:lineRule="auto"/>
            </w:pPr>
            <w:r>
              <w:lastRenderedPageBreak/>
              <w:t>MaxCorOp</w:t>
            </w:r>
          </w:p>
        </w:tc>
        <w:tc>
          <w:tcPr>
            <w:tcW w:w="2700" w:type="dxa"/>
          </w:tcPr>
          <w:p w14:paraId="573EAD43" w14:textId="6F929C3E" w:rsidR="00D923E4" w:rsidRDefault="00D923E4" w:rsidP="00C142F2">
            <w:pPr>
              <w:spacing w:line="276" w:lineRule="auto"/>
            </w:pPr>
            <w:r>
              <w:t>7e-6</w:t>
            </w:r>
          </w:p>
        </w:tc>
      </w:tr>
      <w:tr w:rsidR="00D923E4" w14:paraId="3674E8D9" w14:textId="77777777" w:rsidTr="00DD2183">
        <w:tc>
          <w:tcPr>
            <w:tcW w:w="2605" w:type="dxa"/>
          </w:tcPr>
          <w:p w14:paraId="1297831F" w14:textId="3E15A506" w:rsidR="00D923E4" w:rsidRDefault="00D923E4" w:rsidP="00C142F2">
            <w:pPr>
              <w:spacing w:line="276" w:lineRule="auto"/>
            </w:pPr>
            <w:r>
              <w:t>PegMaxCor</w:t>
            </w:r>
          </w:p>
        </w:tc>
        <w:tc>
          <w:tcPr>
            <w:tcW w:w="2700" w:type="dxa"/>
          </w:tcPr>
          <w:p w14:paraId="598DF821" w14:textId="5F68A900" w:rsidR="00D923E4" w:rsidRDefault="00D923E4" w:rsidP="00C142F2">
            <w:pPr>
              <w:spacing w:line="276" w:lineRule="auto"/>
            </w:pPr>
            <w:r>
              <w:t>0.0001</w:t>
            </w:r>
          </w:p>
        </w:tc>
      </w:tr>
      <w:tr w:rsidR="00D923E4" w14:paraId="66EF8BA4" w14:textId="77777777" w:rsidTr="00DD2183">
        <w:tc>
          <w:tcPr>
            <w:tcW w:w="2605" w:type="dxa"/>
          </w:tcPr>
          <w:p w14:paraId="3FBE1301" w14:textId="0ECD1149" w:rsidR="00D923E4" w:rsidRDefault="00D923E4" w:rsidP="00C142F2">
            <w:pPr>
              <w:spacing w:line="276" w:lineRule="auto"/>
            </w:pPr>
            <w:r>
              <w:t>PegID</w:t>
            </w:r>
          </w:p>
        </w:tc>
        <w:tc>
          <w:tcPr>
            <w:tcW w:w="2700" w:type="dxa"/>
          </w:tcPr>
          <w:p w14:paraId="79EBD24B" w14:textId="6C1CD6EA" w:rsidR="00D923E4" w:rsidRDefault="00D923E4" w:rsidP="00C142F2">
            <w:pPr>
              <w:spacing w:line="276" w:lineRule="auto"/>
            </w:pPr>
            <w:r>
              <w:t>0.0015</w:t>
            </w:r>
          </w:p>
        </w:tc>
      </w:tr>
      <w:tr w:rsidR="00D923E4" w14:paraId="44B1AAE4" w14:textId="77777777" w:rsidTr="00DD2183">
        <w:tc>
          <w:tcPr>
            <w:tcW w:w="2605" w:type="dxa"/>
          </w:tcPr>
          <w:p w14:paraId="30C12879" w14:textId="6EF5C4DE" w:rsidR="00D923E4" w:rsidRDefault="00D923E4" w:rsidP="00C142F2">
            <w:pPr>
              <w:spacing w:line="276" w:lineRule="auto"/>
            </w:pPr>
            <w:r>
              <w:t>MaxCor</w:t>
            </w:r>
          </w:p>
        </w:tc>
        <w:tc>
          <w:tcPr>
            <w:tcW w:w="2700" w:type="dxa"/>
          </w:tcPr>
          <w:p w14:paraId="7D3A67EB" w14:textId="658E62E5" w:rsidR="00D923E4" w:rsidRDefault="00D923E4" w:rsidP="00C142F2">
            <w:pPr>
              <w:spacing w:line="276" w:lineRule="auto"/>
            </w:pPr>
            <w:r>
              <w:t>0.0140</w:t>
            </w:r>
          </w:p>
        </w:tc>
      </w:tr>
      <w:tr w:rsidR="00D923E4" w14:paraId="3167E9D9" w14:textId="77777777" w:rsidTr="00DD2183">
        <w:tc>
          <w:tcPr>
            <w:tcW w:w="2605" w:type="dxa"/>
          </w:tcPr>
          <w:p w14:paraId="0A42F03B" w14:textId="7A82F7FB" w:rsidR="00D923E4" w:rsidRDefault="00D923E4" w:rsidP="00C142F2">
            <w:pPr>
              <w:spacing w:line="276" w:lineRule="auto"/>
            </w:pPr>
            <w:r>
              <w:t>MinCor</w:t>
            </w:r>
          </w:p>
        </w:tc>
        <w:tc>
          <w:tcPr>
            <w:tcW w:w="2700" w:type="dxa"/>
          </w:tcPr>
          <w:p w14:paraId="4506D00A" w14:textId="0D704356" w:rsidR="00D923E4" w:rsidRDefault="00D923E4" w:rsidP="00C142F2">
            <w:pPr>
              <w:spacing w:line="276" w:lineRule="auto"/>
            </w:pPr>
            <w:r>
              <w:t>0.0322</w:t>
            </w:r>
          </w:p>
        </w:tc>
      </w:tr>
      <w:tr w:rsidR="00D923E4" w14:paraId="1A92BAB0" w14:textId="77777777" w:rsidTr="00DD2183">
        <w:tc>
          <w:tcPr>
            <w:tcW w:w="2605" w:type="dxa"/>
          </w:tcPr>
          <w:p w14:paraId="19CE1857" w14:textId="0A10B454" w:rsidR="00D923E4" w:rsidRDefault="00D923E4" w:rsidP="00C142F2">
            <w:pPr>
              <w:spacing w:line="276" w:lineRule="auto"/>
            </w:pPr>
            <w:r>
              <w:t>All others (5 predictors)</w:t>
            </w:r>
          </w:p>
        </w:tc>
        <w:tc>
          <w:tcPr>
            <w:tcW w:w="2700" w:type="dxa"/>
          </w:tcPr>
          <w:p w14:paraId="1288863E" w14:textId="60B253C2" w:rsidR="00D923E4" w:rsidRDefault="00FF65A1" w:rsidP="00D923E4">
            <w:pPr>
              <w:spacing w:line="276" w:lineRule="auto"/>
            </w:pPr>
            <w:r>
              <w:t>&gt; 10</w:t>
            </w:r>
            <w:r w:rsidR="00D923E4">
              <w:t>%</w:t>
            </w:r>
          </w:p>
        </w:tc>
      </w:tr>
    </w:tbl>
    <w:p w14:paraId="03552FF1" w14:textId="77777777" w:rsidR="00D923E4" w:rsidRDefault="00D923E4" w:rsidP="00C142F2">
      <w:pPr>
        <w:spacing w:line="276" w:lineRule="auto"/>
      </w:pPr>
    </w:p>
    <w:p w14:paraId="16784F01" w14:textId="59365C00" w:rsidR="00D81A9F" w:rsidRDefault="004C6C3C" w:rsidP="00220E63">
      <w:pPr>
        <w:spacing w:line="276" w:lineRule="auto"/>
      </w:pPr>
      <w:r>
        <w:t>Next, I</w:t>
      </w:r>
      <w:r w:rsidR="00D81A9F">
        <w:t xml:space="preserve"> test</w:t>
      </w:r>
      <w:r>
        <w:t>ed</w:t>
      </w:r>
      <w:r w:rsidR="00D81A9F">
        <w:t xml:space="preserve"> </w:t>
      </w:r>
      <w:r w:rsidR="00E91841">
        <w:t>each of these single-predictor models vs. the null model (intercept only) using a Likelihood Ratio Test, to see if the results are any different.</w:t>
      </w:r>
      <w:r>
        <w:t xml:space="preserve">  (Again, MultiBIC and UniBIC we</w:t>
      </w:r>
      <w:r w:rsidR="00635CB0">
        <w:t>re adjusted by adding 1 to each cell count.)</w:t>
      </w:r>
      <w:r w:rsidR="00E91841">
        <w:t xml:space="preserve">  Listed are Chi-squared p-values.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90"/>
      </w:tblGrid>
      <w:tr w:rsidR="00DD2183" w14:paraId="4B3DE432" w14:textId="77777777" w:rsidTr="00DD2183">
        <w:tc>
          <w:tcPr>
            <w:tcW w:w="2605" w:type="dxa"/>
          </w:tcPr>
          <w:p w14:paraId="1B2B53FF" w14:textId="77777777" w:rsidR="00DD2183" w:rsidRPr="00D923E4" w:rsidRDefault="00DD2183" w:rsidP="00DA6F1F">
            <w:pPr>
              <w:spacing w:line="276" w:lineRule="auto"/>
              <w:rPr>
                <w:b/>
              </w:rPr>
            </w:pPr>
            <w:r>
              <w:rPr>
                <w:b/>
              </w:rPr>
              <w:t>Predictor</w:t>
            </w:r>
          </w:p>
        </w:tc>
        <w:tc>
          <w:tcPr>
            <w:tcW w:w="3690" w:type="dxa"/>
          </w:tcPr>
          <w:p w14:paraId="68421C20" w14:textId="68ABC796" w:rsidR="00DD2183" w:rsidRPr="00D923E4" w:rsidRDefault="00DD2183" w:rsidP="00DA6F1F">
            <w:pPr>
              <w:spacing w:line="276" w:lineRule="auto"/>
              <w:rPr>
                <w:b/>
              </w:rPr>
            </w:pPr>
            <w:r>
              <w:rPr>
                <w:b/>
              </w:rPr>
              <w:t>LRT Chi-square p-value vs. null model</w:t>
            </w:r>
          </w:p>
        </w:tc>
      </w:tr>
      <w:tr w:rsidR="00DD2183" w14:paraId="36CF3B22" w14:textId="77777777" w:rsidTr="00DD2183">
        <w:tc>
          <w:tcPr>
            <w:tcW w:w="2605" w:type="dxa"/>
          </w:tcPr>
          <w:p w14:paraId="0D9C948E" w14:textId="471C4EFC" w:rsidR="00DD2183" w:rsidRDefault="00DD2183" w:rsidP="00DA6F1F">
            <w:pPr>
              <w:spacing w:line="276" w:lineRule="auto"/>
            </w:pPr>
            <w:r>
              <w:t>MultiBIC</w:t>
            </w:r>
          </w:p>
        </w:tc>
        <w:tc>
          <w:tcPr>
            <w:tcW w:w="3690" w:type="dxa"/>
          </w:tcPr>
          <w:p w14:paraId="4AFBBEB0" w14:textId="240EE5E7" w:rsidR="00DD2183" w:rsidRDefault="00DD2183" w:rsidP="00DA6F1F">
            <w:pPr>
              <w:spacing w:line="276" w:lineRule="auto"/>
            </w:pPr>
            <w:r>
              <w:t>2e-219</w:t>
            </w:r>
          </w:p>
        </w:tc>
      </w:tr>
      <w:tr w:rsidR="00DD2183" w14:paraId="0BA29D9F" w14:textId="77777777" w:rsidTr="00DD2183">
        <w:tc>
          <w:tcPr>
            <w:tcW w:w="2605" w:type="dxa"/>
          </w:tcPr>
          <w:p w14:paraId="20683393" w14:textId="77777777" w:rsidR="00DD2183" w:rsidRDefault="00DD2183" w:rsidP="00DA6F1F">
            <w:pPr>
              <w:spacing w:line="276" w:lineRule="auto"/>
            </w:pPr>
            <w:r>
              <w:t>WScore</w:t>
            </w:r>
          </w:p>
        </w:tc>
        <w:tc>
          <w:tcPr>
            <w:tcW w:w="3690" w:type="dxa"/>
          </w:tcPr>
          <w:p w14:paraId="588F46F9" w14:textId="31C01B5F" w:rsidR="00DD2183" w:rsidRDefault="00DD2183" w:rsidP="00DA6F1F">
            <w:pPr>
              <w:spacing w:line="276" w:lineRule="auto"/>
            </w:pPr>
            <w:r>
              <w:t>1e-212</w:t>
            </w:r>
          </w:p>
        </w:tc>
      </w:tr>
      <w:tr w:rsidR="00DD2183" w14:paraId="3CAEF2A2" w14:textId="77777777" w:rsidTr="00DD2183">
        <w:tc>
          <w:tcPr>
            <w:tcW w:w="2605" w:type="dxa"/>
          </w:tcPr>
          <w:p w14:paraId="3174F3F2" w14:textId="77777777" w:rsidR="00DD2183" w:rsidRDefault="00DD2183" w:rsidP="00DA6F1F">
            <w:pPr>
              <w:spacing w:line="276" w:lineRule="auto"/>
            </w:pPr>
            <w:r>
              <w:t>LogSStat</w:t>
            </w:r>
          </w:p>
        </w:tc>
        <w:tc>
          <w:tcPr>
            <w:tcW w:w="3690" w:type="dxa"/>
          </w:tcPr>
          <w:p w14:paraId="6EBF51B8" w14:textId="0AF5C4BB" w:rsidR="00DD2183" w:rsidRDefault="00DD2183" w:rsidP="00DA6F1F">
            <w:pPr>
              <w:spacing w:line="276" w:lineRule="auto"/>
            </w:pPr>
            <w:r>
              <w:t>2e-191</w:t>
            </w:r>
          </w:p>
        </w:tc>
      </w:tr>
      <w:tr w:rsidR="00DD2183" w14:paraId="62F6C9DD" w14:textId="77777777" w:rsidTr="00DD2183">
        <w:tc>
          <w:tcPr>
            <w:tcW w:w="2605" w:type="dxa"/>
          </w:tcPr>
          <w:p w14:paraId="0B608D1D" w14:textId="30AB012C" w:rsidR="00DD2183" w:rsidRDefault="00DD2183" w:rsidP="00DA6F1F">
            <w:pPr>
              <w:spacing w:line="276" w:lineRule="auto"/>
            </w:pPr>
            <w:r>
              <w:t>UniBIC</w:t>
            </w:r>
          </w:p>
        </w:tc>
        <w:tc>
          <w:tcPr>
            <w:tcW w:w="3690" w:type="dxa"/>
          </w:tcPr>
          <w:p w14:paraId="12124BE8" w14:textId="2B58BF51" w:rsidR="00DD2183" w:rsidRDefault="00DD2183" w:rsidP="00DA6F1F">
            <w:pPr>
              <w:spacing w:line="276" w:lineRule="auto"/>
            </w:pPr>
            <w:r>
              <w:t>3e-157</w:t>
            </w:r>
          </w:p>
        </w:tc>
      </w:tr>
      <w:tr w:rsidR="00DD2183" w14:paraId="523048B6" w14:textId="77777777" w:rsidTr="00DD2183">
        <w:tc>
          <w:tcPr>
            <w:tcW w:w="2605" w:type="dxa"/>
          </w:tcPr>
          <w:p w14:paraId="41B243C0" w14:textId="21624AF5" w:rsidR="00DD2183" w:rsidRDefault="00DD2183" w:rsidP="00DA6F1F">
            <w:pPr>
              <w:spacing w:line="276" w:lineRule="auto"/>
            </w:pPr>
            <w:r>
              <w:t>%off</w:t>
            </w:r>
          </w:p>
        </w:tc>
        <w:tc>
          <w:tcPr>
            <w:tcW w:w="3690" w:type="dxa"/>
          </w:tcPr>
          <w:p w14:paraId="6EDDE893" w14:textId="52E24E80" w:rsidR="00DD2183" w:rsidRDefault="00DD2183" w:rsidP="00DA6F1F">
            <w:pPr>
              <w:spacing w:line="276" w:lineRule="auto"/>
            </w:pPr>
            <w:r>
              <w:t>3e-94</w:t>
            </w:r>
          </w:p>
        </w:tc>
      </w:tr>
      <w:tr w:rsidR="00DD2183" w14:paraId="0929878B" w14:textId="77777777" w:rsidTr="00DD2183">
        <w:tc>
          <w:tcPr>
            <w:tcW w:w="2605" w:type="dxa"/>
          </w:tcPr>
          <w:p w14:paraId="1E9F152F" w14:textId="77777777" w:rsidR="00DD2183" w:rsidRDefault="00DD2183" w:rsidP="00DA6F1F">
            <w:pPr>
              <w:spacing w:line="276" w:lineRule="auto"/>
            </w:pPr>
            <w:r>
              <w:t>SDEij</w:t>
            </w:r>
          </w:p>
        </w:tc>
        <w:tc>
          <w:tcPr>
            <w:tcW w:w="3690" w:type="dxa"/>
          </w:tcPr>
          <w:p w14:paraId="57FC67DE" w14:textId="227FCD74" w:rsidR="00DD2183" w:rsidRDefault="00DD2183" w:rsidP="00DA6F1F">
            <w:pPr>
              <w:spacing w:line="276" w:lineRule="auto"/>
            </w:pPr>
            <w:r>
              <w:t>2e-77</w:t>
            </w:r>
          </w:p>
        </w:tc>
      </w:tr>
      <w:tr w:rsidR="00DD2183" w14:paraId="5A6C816F" w14:textId="77777777" w:rsidTr="00DD2183">
        <w:tc>
          <w:tcPr>
            <w:tcW w:w="2605" w:type="dxa"/>
          </w:tcPr>
          <w:p w14:paraId="4B58F928" w14:textId="77777777" w:rsidR="00DD2183" w:rsidRDefault="00DD2183" w:rsidP="00DA6F1F">
            <w:pPr>
              <w:spacing w:line="276" w:lineRule="auto"/>
            </w:pPr>
            <w:r>
              <w:t>MeanAij</w:t>
            </w:r>
          </w:p>
        </w:tc>
        <w:tc>
          <w:tcPr>
            <w:tcW w:w="3690" w:type="dxa"/>
          </w:tcPr>
          <w:p w14:paraId="2F5B3E29" w14:textId="7EA8EFF6" w:rsidR="00DD2183" w:rsidRDefault="002C3EF9" w:rsidP="00DA6F1F">
            <w:pPr>
              <w:spacing w:line="276" w:lineRule="auto"/>
            </w:pPr>
            <w:r>
              <w:t>1e-41</w:t>
            </w:r>
          </w:p>
        </w:tc>
      </w:tr>
      <w:tr w:rsidR="002C3EF9" w14:paraId="1DFE122B" w14:textId="77777777" w:rsidTr="00DD2183">
        <w:tc>
          <w:tcPr>
            <w:tcW w:w="2605" w:type="dxa"/>
          </w:tcPr>
          <w:p w14:paraId="512D7C83" w14:textId="3A7B29B6" w:rsidR="002C3EF9" w:rsidRDefault="002C3EF9" w:rsidP="002C3EF9">
            <w:pPr>
              <w:spacing w:line="276" w:lineRule="auto"/>
            </w:pPr>
            <w:r>
              <w:t>MeanEij</w:t>
            </w:r>
          </w:p>
        </w:tc>
        <w:tc>
          <w:tcPr>
            <w:tcW w:w="3690" w:type="dxa"/>
          </w:tcPr>
          <w:p w14:paraId="590E8B2D" w14:textId="247086D0" w:rsidR="002C3EF9" w:rsidRDefault="002C3EF9" w:rsidP="002C3EF9">
            <w:pPr>
              <w:spacing w:line="276" w:lineRule="auto"/>
            </w:pPr>
            <w:r>
              <w:t>2e-39</w:t>
            </w:r>
          </w:p>
        </w:tc>
      </w:tr>
      <w:tr w:rsidR="002C3EF9" w14:paraId="37379F8E" w14:textId="77777777" w:rsidTr="00DD2183">
        <w:tc>
          <w:tcPr>
            <w:tcW w:w="2605" w:type="dxa"/>
          </w:tcPr>
          <w:p w14:paraId="551B5C36" w14:textId="77777777" w:rsidR="002C3EF9" w:rsidRDefault="002C3EF9" w:rsidP="002C3EF9">
            <w:pPr>
              <w:spacing w:line="276" w:lineRule="auto"/>
            </w:pPr>
            <w:r>
              <w:t>MaxCorOp</w:t>
            </w:r>
          </w:p>
        </w:tc>
        <w:tc>
          <w:tcPr>
            <w:tcW w:w="3690" w:type="dxa"/>
          </w:tcPr>
          <w:p w14:paraId="15AD5F8F" w14:textId="569FDB62" w:rsidR="002C3EF9" w:rsidRDefault="002C3EF9" w:rsidP="002C3EF9">
            <w:pPr>
              <w:spacing w:line="276" w:lineRule="auto"/>
            </w:pPr>
            <w:r>
              <w:t>2e-5</w:t>
            </w:r>
          </w:p>
        </w:tc>
      </w:tr>
      <w:tr w:rsidR="002C3EF9" w14:paraId="2E2F3C8D" w14:textId="77777777" w:rsidTr="00DD2183">
        <w:tc>
          <w:tcPr>
            <w:tcW w:w="2605" w:type="dxa"/>
          </w:tcPr>
          <w:p w14:paraId="6BF0E3AC" w14:textId="77777777" w:rsidR="002C3EF9" w:rsidRDefault="002C3EF9" w:rsidP="002C3EF9">
            <w:pPr>
              <w:spacing w:line="276" w:lineRule="auto"/>
            </w:pPr>
            <w:r>
              <w:t>PegMaxCor</w:t>
            </w:r>
          </w:p>
        </w:tc>
        <w:tc>
          <w:tcPr>
            <w:tcW w:w="3690" w:type="dxa"/>
          </w:tcPr>
          <w:p w14:paraId="135B3C91" w14:textId="77777777" w:rsidR="002C3EF9" w:rsidRDefault="002C3EF9" w:rsidP="002C3EF9">
            <w:pPr>
              <w:spacing w:line="276" w:lineRule="auto"/>
            </w:pPr>
            <w:r>
              <w:t>0.0001</w:t>
            </w:r>
          </w:p>
        </w:tc>
      </w:tr>
      <w:tr w:rsidR="002C3EF9" w14:paraId="4E36DCDA" w14:textId="77777777" w:rsidTr="00DD2183">
        <w:tc>
          <w:tcPr>
            <w:tcW w:w="2605" w:type="dxa"/>
          </w:tcPr>
          <w:p w14:paraId="6532B7B3" w14:textId="77777777" w:rsidR="002C3EF9" w:rsidRDefault="002C3EF9" w:rsidP="002C3EF9">
            <w:pPr>
              <w:spacing w:line="276" w:lineRule="auto"/>
            </w:pPr>
            <w:r>
              <w:t>PegID</w:t>
            </w:r>
          </w:p>
        </w:tc>
        <w:tc>
          <w:tcPr>
            <w:tcW w:w="3690" w:type="dxa"/>
          </w:tcPr>
          <w:p w14:paraId="65BE3CFF" w14:textId="11012CE3" w:rsidR="002C3EF9" w:rsidRDefault="002C3EF9" w:rsidP="002C3EF9">
            <w:pPr>
              <w:spacing w:line="276" w:lineRule="auto"/>
            </w:pPr>
            <w:r>
              <w:t>0.0014</w:t>
            </w:r>
          </w:p>
        </w:tc>
      </w:tr>
      <w:tr w:rsidR="002C3EF9" w14:paraId="35611DB5" w14:textId="77777777" w:rsidTr="00DD2183">
        <w:tc>
          <w:tcPr>
            <w:tcW w:w="2605" w:type="dxa"/>
          </w:tcPr>
          <w:p w14:paraId="57F9F0A5" w14:textId="504EAB1A" w:rsidR="002C3EF9" w:rsidRDefault="002C3EF9" w:rsidP="002C3EF9">
            <w:pPr>
              <w:spacing w:line="276" w:lineRule="auto"/>
            </w:pPr>
            <w:r>
              <w:t>MinCor</w:t>
            </w:r>
          </w:p>
        </w:tc>
        <w:tc>
          <w:tcPr>
            <w:tcW w:w="3690" w:type="dxa"/>
          </w:tcPr>
          <w:p w14:paraId="2A91C5E1" w14:textId="7506DEA8" w:rsidR="002C3EF9" w:rsidRDefault="002C3EF9" w:rsidP="002C3EF9">
            <w:pPr>
              <w:spacing w:line="276" w:lineRule="auto"/>
            </w:pPr>
            <w:r>
              <w:t>0.0028</w:t>
            </w:r>
          </w:p>
        </w:tc>
      </w:tr>
      <w:tr w:rsidR="002C3EF9" w14:paraId="3A8A6AFF" w14:textId="77777777" w:rsidTr="00DD2183">
        <w:tc>
          <w:tcPr>
            <w:tcW w:w="2605" w:type="dxa"/>
          </w:tcPr>
          <w:p w14:paraId="29C36559" w14:textId="77777777" w:rsidR="002C3EF9" w:rsidRDefault="002C3EF9" w:rsidP="002C3EF9">
            <w:pPr>
              <w:spacing w:line="276" w:lineRule="auto"/>
            </w:pPr>
            <w:r>
              <w:t>MaxCor</w:t>
            </w:r>
          </w:p>
        </w:tc>
        <w:tc>
          <w:tcPr>
            <w:tcW w:w="3690" w:type="dxa"/>
          </w:tcPr>
          <w:p w14:paraId="4813CC1E" w14:textId="77777777" w:rsidR="002C3EF9" w:rsidRDefault="002C3EF9" w:rsidP="002C3EF9">
            <w:pPr>
              <w:spacing w:line="276" w:lineRule="auto"/>
            </w:pPr>
            <w:r>
              <w:t>0.0140</w:t>
            </w:r>
          </w:p>
        </w:tc>
      </w:tr>
      <w:tr w:rsidR="002C3EF9" w14:paraId="2725BAE7" w14:textId="77777777" w:rsidTr="00DD2183">
        <w:tc>
          <w:tcPr>
            <w:tcW w:w="2605" w:type="dxa"/>
          </w:tcPr>
          <w:p w14:paraId="70CB29E6" w14:textId="77777777" w:rsidR="002C3EF9" w:rsidRDefault="002C3EF9" w:rsidP="002C3EF9">
            <w:pPr>
              <w:spacing w:line="276" w:lineRule="auto"/>
            </w:pPr>
            <w:r>
              <w:t>All others (5 predictors)</w:t>
            </w:r>
          </w:p>
        </w:tc>
        <w:tc>
          <w:tcPr>
            <w:tcW w:w="3690" w:type="dxa"/>
          </w:tcPr>
          <w:p w14:paraId="3D134408" w14:textId="0D9C9D18" w:rsidR="002C3EF9" w:rsidRDefault="00FF65A1" w:rsidP="002C3EF9">
            <w:pPr>
              <w:spacing w:line="276" w:lineRule="auto"/>
            </w:pPr>
            <w:r>
              <w:t>&gt; 10</w:t>
            </w:r>
            <w:r w:rsidR="002C3EF9">
              <w:t>%</w:t>
            </w:r>
          </w:p>
        </w:tc>
      </w:tr>
    </w:tbl>
    <w:p w14:paraId="71746E2A" w14:textId="77777777" w:rsidR="00DD2183" w:rsidRDefault="00DD2183" w:rsidP="00220E63">
      <w:pPr>
        <w:spacing w:line="276" w:lineRule="auto"/>
      </w:pPr>
    </w:p>
    <w:p w14:paraId="111E2BC2" w14:textId="500A7899" w:rsidR="00635CB0" w:rsidRDefault="00635CB0" w:rsidP="00220E63">
      <w:pPr>
        <w:spacing w:line="276" w:lineRule="auto"/>
      </w:pPr>
      <w:r>
        <w:t xml:space="preserve">This list (by LRT) is very similar to the previous list, but with a few differences.  We see MultiBIC and UniBIC get a lot more credit for their stellar performance, with MultiBIC even beating WScore – which is surprising to me.  </w:t>
      </w:r>
      <w:r w:rsidR="004C6C3C">
        <w:t>(</w:t>
      </w:r>
      <w:r>
        <w:t>MultiBIC is one component of WScore.</w:t>
      </w:r>
      <w:r w:rsidR="004C6C3C">
        <w:t>)</w:t>
      </w:r>
      <w:r>
        <w:t xml:space="preserve">  LogSStat is also much closer to WScore </w:t>
      </w:r>
      <w:r w:rsidR="004C6C3C">
        <w:t xml:space="preserve">in this list </w:t>
      </w:r>
      <w:r>
        <w:t>tha</w:t>
      </w:r>
      <w:r w:rsidR="004C6C3C">
        <w:t>n it was in the previous list</w:t>
      </w:r>
      <w:r>
        <w:t xml:space="preserve">.  MeanAij beats MeanEij, which should be expected, rather than the other way around as it was in the previous list.  Overall, this list’s results make more intuitive sense to me – that is, they conform better to my expectations. </w:t>
      </w:r>
    </w:p>
    <w:p w14:paraId="6CB225D3" w14:textId="27260BAC" w:rsidR="00635CB0" w:rsidRDefault="004730BA" w:rsidP="00220E63">
      <w:pPr>
        <w:spacing w:line="276" w:lineRule="auto"/>
      </w:pPr>
      <w:r>
        <w:t>Next, we do the same</w:t>
      </w:r>
      <w:r w:rsidR="004C6C3C">
        <w:t xml:space="preserve"> test</w:t>
      </w:r>
      <w:r>
        <w:t>, but for all</w:t>
      </w:r>
      <w:r w:rsidR="004C6C3C">
        <w:t xml:space="preserve"> 17 choose 2 =</w:t>
      </w:r>
      <w:r>
        <w:t xml:space="preserve"> 136 pairs of predictors (excluding WScore from this analysis).  The fitted models just have two main-effects t</w:t>
      </w:r>
      <w:r w:rsidR="00D41397">
        <w:t>erms, not any interaction terms, and are compared against the null model (intercept only) using the LRT.</w:t>
      </w:r>
      <w:r w:rsidR="00566343">
        <w:t xml:space="preserve">  (Re-running the tests including the interaction terms, e.g. using MultiBIC + LogSStat + MultiBIC:LogSStat instead of merely MultiBIC + LogSStat, produced almost exactly the same table.)</w:t>
      </w:r>
      <w:r w:rsidR="00D923E4">
        <w:t xml:space="preserve">  Notably, in this analysis MultiBIC and UniBIC are </w:t>
      </w:r>
      <w:r w:rsidR="00D923E4">
        <w:rPr>
          <w:b/>
        </w:rPr>
        <w:t>not</w:t>
      </w:r>
      <w:r w:rsidR="00D923E4">
        <w:t xml:space="preserve"> corrected by adding to cell counts, because that would require making up fictitious data for whatever other predictor was with them.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2250"/>
        <w:gridCol w:w="2250"/>
      </w:tblGrid>
      <w:tr w:rsidR="00DA6F1F" w14:paraId="5450D06B" w14:textId="2C24D75A" w:rsidTr="00DA6F1F">
        <w:tc>
          <w:tcPr>
            <w:tcW w:w="5035" w:type="dxa"/>
          </w:tcPr>
          <w:p w14:paraId="659DB7BC" w14:textId="705D4F7B" w:rsidR="00DA6F1F" w:rsidRPr="00D41397" w:rsidRDefault="00DA6F1F" w:rsidP="004C6C3C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Predictor Combination</w:t>
            </w:r>
          </w:p>
        </w:tc>
        <w:tc>
          <w:tcPr>
            <w:tcW w:w="2250" w:type="dxa"/>
          </w:tcPr>
          <w:p w14:paraId="6E9E91EB" w14:textId="7730C40B" w:rsidR="00DA6F1F" w:rsidRPr="00D41397" w:rsidRDefault="00DA6F1F" w:rsidP="004C6C3C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>LRT Chi-square p</w:t>
            </w:r>
            <w:r>
              <w:rPr>
                <w:b/>
              </w:rPr>
              <w:noBreakHyphen/>
              <w:t>value vs. null model</w:t>
            </w:r>
          </w:p>
        </w:tc>
        <w:tc>
          <w:tcPr>
            <w:tcW w:w="2250" w:type="dxa"/>
          </w:tcPr>
          <w:p w14:paraId="1C6674E9" w14:textId="3CDE17BD" w:rsidR="00DA6F1F" w:rsidRDefault="00DA6F1F" w:rsidP="007771DF">
            <w:pPr>
              <w:keepNext/>
              <w:spacing w:line="276" w:lineRule="auto"/>
              <w:rPr>
                <w:b/>
              </w:rPr>
            </w:pPr>
            <w:r>
              <w:rPr>
                <w:b/>
              </w:rPr>
              <w:t xml:space="preserve">“Fruitfulness” </w:t>
            </w:r>
          </w:p>
        </w:tc>
      </w:tr>
      <w:tr w:rsidR="00DA6F1F" w14:paraId="5CDA17B5" w14:textId="3FA690D6" w:rsidTr="00DA6F1F">
        <w:tc>
          <w:tcPr>
            <w:tcW w:w="5035" w:type="dxa"/>
          </w:tcPr>
          <w:p w14:paraId="3B587003" w14:textId="3AD101AC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LogSStat</w:t>
            </w:r>
          </w:p>
        </w:tc>
        <w:tc>
          <w:tcPr>
            <w:tcW w:w="2250" w:type="dxa"/>
          </w:tcPr>
          <w:p w14:paraId="4ACE0672" w14:textId="7F39EE7C" w:rsidR="00DA6F1F" w:rsidRDefault="00DA6F1F" w:rsidP="004C6C3C">
            <w:pPr>
              <w:keepNext/>
              <w:spacing w:line="276" w:lineRule="auto"/>
            </w:pPr>
            <w:r>
              <w:t>2e-279</w:t>
            </w:r>
          </w:p>
        </w:tc>
        <w:tc>
          <w:tcPr>
            <w:tcW w:w="2250" w:type="dxa"/>
          </w:tcPr>
          <w:p w14:paraId="740F2866" w14:textId="5BFA3E42" w:rsidR="00DA6F1F" w:rsidRPr="0009734F" w:rsidRDefault="00EC0D68" w:rsidP="004C6C3C">
            <w:pPr>
              <w:keepNext/>
              <w:spacing w:line="276" w:lineRule="auto"/>
            </w:pPr>
            <w:r>
              <w:t>60.1</w:t>
            </w:r>
          </w:p>
        </w:tc>
      </w:tr>
      <w:tr w:rsidR="00DA6F1F" w14:paraId="41CE66DD" w14:textId="4C8A5958" w:rsidTr="00DA6F1F">
        <w:tc>
          <w:tcPr>
            <w:tcW w:w="5035" w:type="dxa"/>
          </w:tcPr>
          <w:p w14:paraId="35CC61DB" w14:textId="6C7F046E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%off</w:t>
            </w:r>
          </w:p>
        </w:tc>
        <w:tc>
          <w:tcPr>
            <w:tcW w:w="2250" w:type="dxa"/>
          </w:tcPr>
          <w:p w14:paraId="7CD2E5FF" w14:textId="5FD9D3B0" w:rsidR="00DA6F1F" w:rsidRDefault="00DA6F1F" w:rsidP="004C6C3C">
            <w:pPr>
              <w:keepNext/>
              <w:spacing w:line="276" w:lineRule="auto"/>
            </w:pPr>
            <w:r>
              <w:t>1e-277</w:t>
            </w:r>
          </w:p>
        </w:tc>
        <w:tc>
          <w:tcPr>
            <w:tcW w:w="2250" w:type="dxa"/>
          </w:tcPr>
          <w:p w14:paraId="72925BA8" w14:textId="2A685F7C" w:rsidR="00DA6F1F" w:rsidRPr="0009734F" w:rsidRDefault="00EC0D68" w:rsidP="004C6C3C">
            <w:pPr>
              <w:keepNext/>
              <w:spacing w:line="276" w:lineRule="auto"/>
            </w:pPr>
            <w:r>
              <w:t>58.2</w:t>
            </w:r>
          </w:p>
        </w:tc>
      </w:tr>
      <w:tr w:rsidR="00DA6F1F" w14:paraId="3C36FBF2" w14:textId="3B32A534" w:rsidTr="00DA6F1F">
        <w:tc>
          <w:tcPr>
            <w:tcW w:w="5035" w:type="dxa"/>
          </w:tcPr>
          <w:p w14:paraId="264D169C" w14:textId="429AFE26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MeanAij</w:t>
            </w:r>
          </w:p>
        </w:tc>
        <w:tc>
          <w:tcPr>
            <w:tcW w:w="2250" w:type="dxa"/>
          </w:tcPr>
          <w:p w14:paraId="76692ED8" w14:textId="4F14D145" w:rsidR="00DA6F1F" w:rsidRDefault="00DA6F1F" w:rsidP="004C6C3C">
            <w:pPr>
              <w:keepNext/>
              <w:spacing w:line="276" w:lineRule="auto"/>
            </w:pPr>
            <w:r>
              <w:t>2e-275</w:t>
            </w:r>
          </w:p>
        </w:tc>
        <w:tc>
          <w:tcPr>
            <w:tcW w:w="2250" w:type="dxa"/>
          </w:tcPr>
          <w:p w14:paraId="20F88912" w14:textId="5C8AE523" w:rsidR="00DA6F1F" w:rsidRPr="0009734F" w:rsidRDefault="00EC0D68" w:rsidP="004C6C3C">
            <w:pPr>
              <w:keepNext/>
              <w:spacing w:line="276" w:lineRule="auto"/>
            </w:pPr>
            <w:r>
              <w:t>56.1</w:t>
            </w:r>
          </w:p>
        </w:tc>
      </w:tr>
      <w:tr w:rsidR="00DA6F1F" w14:paraId="531209F0" w14:textId="2FC24DFC" w:rsidTr="00DA6F1F">
        <w:tc>
          <w:tcPr>
            <w:tcW w:w="5035" w:type="dxa"/>
          </w:tcPr>
          <w:p w14:paraId="246C46E9" w14:textId="6CAD1942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MeanEij</w:t>
            </w:r>
          </w:p>
        </w:tc>
        <w:tc>
          <w:tcPr>
            <w:tcW w:w="2250" w:type="dxa"/>
          </w:tcPr>
          <w:p w14:paraId="68E923DF" w14:textId="47AEE6F9" w:rsidR="00DA6F1F" w:rsidRDefault="00DA6F1F" w:rsidP="004C6C3C">
            <w:pPr>
              <w:keepNext/>
              <w:spacing w:line="276" w:lineRule="auto"/>
            </w:pPr>
            <w:r>
              <w:t>4e-267</w:t>
            </w:r>
          </w:p>
        </w:tc>
        <w:tc>
          <w:tcPr>
            <w:tcW w:w="2250" w:type="dxa"/>
          </w:tcPr>
          <w:p w14:paraId="4C369C01" w14:textId="6584ECF0" w:rsidR="00DA6F1F" w:rsidRPr="0009734F" w:rsidRDefault="00EC0D68" w:rsidP="004C6C3C">
            <w:pPr>
              <w:keepNext/>
              <w:spacing w:line="276" w:lineRule="auto"/>
            </w:pPr>
            <w:r>
              <w:t>47.7</w:t>
            </w:r>
          </w:p>
        </w:tc>
      </w:tr>
      <w:tr w:rsidR="00DA6F1F" w14:paraId="3B025D0E" w14:textId="07B002BF" w:rsidTr="00DA6F1F">
        <w:tc>
          <w:tcPr>
            <w:tcW w:w="5035" w:type="dxa"/>
          </w:tcPr>
          <w:p w14:paraId="7614138D" w14:textId="1BDFAAD0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UniBIC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LogSStat</w:t>
            </w:r>
          </w:p>
        </w:tc>
        <w:tc>
          <w:tcPr>
            <w:tcW w:w="2250" w:type="dxa"/>
          </w:tcPr>
          <w:p w14:paraId="7B3F007B" w14:textId="6EA8A48F" w:rsidR="00DA6F1F" w:rsidRDefault="00DA6F1F" w:rsidP="004C6C3C">
            <w:pPr>
              <w:keepNext/>
              <w:spacing w:line="276" w:lineRule="auto"/>
            </w:pPr>
            <w:r>
              <w:t>2e-251</w:t>
            </w:r>
          </w:p>
        </w:tc>
        <w:tc>
          <w:tcPr>
            <w:tcW w:w="2250" w:type="dxa"/>
          </w:tcPr>
          <w:p w14:paraId="06660347" w14:textId="2CC792B1" w:rsidR="00DA6F1F" w:rsidRPr="0009734F" w:rsidRDefault="00EC0D68" w:rsidP="004C6C3C">
            <w:pPr>
              <w:keepNext/>
              <w:spacing w:line="276" w:lineRule="auto"/>
            </w:pPr>
            <w:r>
              <w:t>60.2</w:t>
            </w:r>
          </w:p>
        </w:tc>
      </w:tr>
      <w:tr w:rsidR="00DA6F1F" w14:paraId="4A4797AA" w14:textId="003709F7" w:rsidTr="00DA6F1F">
        <w:tc>
          <w:tcPr>
            <w:tcW w:w="5035" w:type="dxa"/>
          </w:tcPr>
          <w:p w14:paraId="64B8AAFD" w14:textId="56BDE83A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MeanAij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LogSStat</w:t>
            </w:r>
          </w:p>
        </w:tc>
        <w:tc>
          <w:tcPr>
            <w:tcW w:w="2250" w:type="dxa"/>
          </w:tcPr>
          <w:p w14:paraId="1B84A200" w14:textId="4E82D0A9" w:rsidR="00DA6F1F" w:rsidRDefault="00DA6F1F" w:rsidP="004C6C3C">
            <w:pPr>
              <w:keepNext/>
              <w:spacing w:line="276" w:lineRule="auto"/>
            </w:pPr>
            <w:r>
              <w:t>2e-232</w:t>
            </w:r>
          </w:p>
        </w:tc>
        <w:tc>
          <w:tcPr>
            <w:tcW w:w="2250" w:type="dxa"/>
          </w:tcPr>
          <w:p w14:paraId="5A860AE4" w14:textId="45722B4F" w:rsidR="00DA6F1F" w:rsidRPr="0009734F" w:rsidRDefault="00EC0D68" w:rsidP="004C6C3C">
            <w:pPr>
              <w:keepNext/>
              <w:spacing w:line="276" w:lineRule="auto"/>
            </w:pPr>
            <w:r>
              <w:t>41.2</w:t>
            </w:r>
          </w:p>
        </w:tc>
      </w:tr>
      <w:tr w:rsidR="00DA6F1F" w14:paraId="4432EA8F" w14:textId="2C18DF8C" w:rsidTr="00DA6F1F">
        <w:tc>
          <w:tcPr>
            <w:tcW w:w="5035" w:type="dxa"/>
          </w:tcPr>
          <w:p w14:paraId="37924168" w14:textId="0B8BCA33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+ </w:t>
            </w:r>
            <w:r w:rsidRPr="001F2392">
              <w:rPr>
                <w:color w:val="FF0000"/>
              </w:rPr>
              <w:t>SDEij</w:t>
            </w:r>
          </w:p>
        </w:tc>
        <w:tc>
          <w:tcPr>
            <w:tcW w:w="2250" w:type="dxa"/>
          </w:tcPr>
          <w:p w14:paraId="00E3F4CC" w14:textId="3EC500DA" w:rsidR="00DA6F1F" w:rsidRDefault="00DA6F1F" w:rsidP="004C6C3C">
            <w:pPr>
              <w:keepNext/>
              <w:spacing w:line="276" w:lineRule="auto"/>
            </w:pPr>
            <w:r>
              <w:t>3e-225</w:t>
            </w:r>
          </w:p>
        </w:tc>
        <w:tc>
          <w:tcPr>
            <w:tcW w:w="2250" w:type="dxa"/>
          </w:tcPr>
          <w:p w14:paraId="5144D84C" w14:textId="129ED60A" w:rsidR="00DA6F1F" w:rsidRPr="0009734F" w:rsidRDefault="00EC0D68" w:rsidP="004C6C3C">
            <w:pPr>
              <w:keepNext/>
              <w:spacing w:line="276" w:lineRule="auto"/>
            </w:pPr>
            <w:r>
              <w:t>5.8</w:t>
            </w:r>
          </w:p>
        </w:tc>
      </w:tr>
      <w:tr w:rsidR="00DA6F1F" w14:paraId="7377AE91" w14:textId="7BF4CBB7" w:rsidTr="00DA6F1F">
        <w:tc>
          <w:tcPr>
            <w:tcW w:w="5035" w:type="dxa"/>
          </w:tcPr>
          <w:p w14:paraId="2DEA2F8A" w14:textId="049089A4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+ </w:t>
            </w:r>
            <w:r w:rsidRPr="001F2392">
              <w:rPr>
                <w:color w:val="FF0000"/>
              </w:rPr>
              <w:t>UniBIC</w:t>
            </w:r>
          </w:p>
        </w:tc>
        <w:tc>
          <w:tcPr>
            <w:tcW w:w="2250" w:type="dxa"/>
          </w:tcPr>
          <w:p w14:paraId="0C2E9E32" w14:textId="37FCFEA4" w:rsidR="00DA6F1F" w:rsidRDefault="00DA6F1F" w:rsidP="004C6C3C">
            <w:pPr>
              <w:keepNext/>
              <w:spacing w:line="276" w:lineRule="auto"/>
            </w:pPr>
            <w:r>
              <w:t>8e-225</w:t>
            </w:r>
          </w:p>
        </w:tc>
        <w:tc>
          <w:tcPr>
            <w:tcW w:w="2250" w:type="dxa"/>
          </w:tcPr>
          <w:p w14:paraId="793827C9" w14:textId="00821797" w:rsidR="00DA6F1F" w:rsidRPr="0009734F" w:rsidRDefault="00EC0D68" w:rsidP="004C6C3C">
            <w:pPr>
              <w:keepNext/>
              <w:spacing w:line="276" w:lineRule="auto"/>
            </w:pPr>
            <w:r>
              <w:t>5.4</w:t>
            </w:r>
          </w:p>
        </w:tc>
      </w:tr>
      <w:tr w:rsidR="00DA6F1F" w14:paraId="562980F2" w14:textId="0E6CCD50" w:rsidTr="00DA6F1F">
        <w:tc>
          <w:tcPr>
            <w:tcW w:w="5035" w:type="dxa"/>
          </w:tcPr>
          <w:p w14:paraId="235F2FDA" w14:textId="469F4F70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MultiBIC</w:t>
            </w:r>
            <w:r>
              <w:t xml:space="preserve"> with any other predictor (10 combinations)</w:t>
            </w:r>
          </w:p>
        </w:tc>
        <w:tc>
          <w:tcPr>
            <w:tcW w:w="2250" w:type="dxa"/>
          </w:tcPr>
          <w:p w14:paraId="15BB86A7" w14:textId="43F7AC57" w:rsidR="00DA6F1F" w:rsidRDefault="00DA6F1F" w:rsidP="004C6C3C">
            <w:pPr>
              <w:keepNext/>
              <w:spacing w:line="276" w:lineRule="auto"/>
            </w:pPr>
            <w:r>
              <w:t>1e-224 to 2e-220</w:t>
            </w:r>
          </w:p>
        </w:tc>
        <w:tc>
          <w:tcPr>
            <w:tcW w:w="2250" w:type="dxa"/>
          </w:tcPr>
          <w:p w14:paraId="7F0D3C57" w14:textId="205A9EBA" w:rsidR="00DA6F1F" w:rsidRPr="0009734F" w:rsidRDefault="00EC0D68" w:rsidP="004C6C3C">
            <w:pPr>
              <w:keepNext/>
              <w:spacing w:line="276" w:lineRule="auto"/>
            </w:pPr>
            <w:r>
              <w:t>5.3 to 1.1</w:t>
            </w:r>
          </w:p>
        </w:tc>
      </w:tr>
      <w:tr w:rsidR="00DA6F1F" w14:paraId="548B0D4A" w14:textId="0A765E10" w:rsidTr="00DA6F1F">
        <w:tc>
          <w:tcPr>
            <w:tcW w:w="5035" w:type="dxa"/>
          </w:tcPr>
          <w:p w14:paraId="3483DF71" w14:textId="0F9B60CC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UniBIC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%off</w:t>
            </w:r>
          </w:p>
        </w:tc>
        <w:tc>
          <w:tcPr>
            <w:tcW w:w="2250" w:type="dxa"/>
          </w:tcPr>
          <w:p w14:paraId="421FAF0B" w14:textId="56DD27C2" w:rsidR="00DA6F1F" w:rsidRDefault="00DA6F1F" w:rsidP="004C6C3C">
            <w:pPr>
              <w:keepNext/>
              <w:spacing w:line="276" w:lineRule="auto"/>
            </w:pPr>
            <w:r>
              <w:t>8e-222</w:t>
            </w:r>
          </w:p>
        </w:tc>
        <w:tc>
          <w:tcPr>
            <w:tcW w:w="2250" w:type="dxa"/>
          </w:tcPr>
          <w:p w14:paraId="7A0351DE" w14:textId="15EEE23F" w:rsidR="00DA6F1F" w:rsidRPr="0009734F" w:rsidRDefault="00435BE7" w:rsidP="004C6C3C">
            <w:pPr>
              <w:keepNext/>
              <w:spacing w:line="276" w:lineRule="auto"/>
            </w:pPr>
            <w:r>
              <w:t>64.5</w:t>
            </w:r>
          </w:p>
        </w:tc>
      </w:tr>
      <w:tr w:rsidR="00DA6F1F" w14:paraId="681C9FEF" w14:textId="15A0BA27" w:rsidTr="00DA6F1F">
        <w:tc>
          <w:tcPr>
            <w:tcW w:w="5035" w:type="dxa"/>
          </w:tcPr>
          <w:p w14:paraId="3DEE9ADA" w14:textId="7D4B1969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SDEij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LogSStat</w:t>
            </w:r>
          </w:p>
        </w:tc>
        <w:tc>
          <w:tcPr>
            <w:tcW w:w="2250" w:type="dxa"/>
          </w:tcPr>
          <w:p w14:paraId="05B767FA" w14:textId="451ACC7A" w:rsidR="00DA6F1F" w:rsidRDefault="00DA6F1F" w:rsidP="004C6C3C">
            <w:pPr>
              <w:keepNext/>
              <w:spacing w:line="276" w:lineRule="auto"/>
            </w:pPr>
            <w:r>
              <w:t>8e-207</w:t>
            </w:r>
          </w:p>
        </w:tc>
        <w:tc>
          <w:tcPr>
            <w:tcW w:w="2250" w:type="dxa"/>
          </w:tcPr>
          <w:p w14:paraId="52121746" w14:textId="4A3754AF" w:rsidR="00DA6F1F" w:rsidRPr="0009734F" w:rsidRDefault="00435BE7" w:rsidP="004C6C3C">
            <w:pPr>
              <w:keepNext/>
              <w:spacing w:line="276" w:lineRule="auto"/>
            </w:pPr>
            <w:r>
              <w:t>15.5</w:t>
            </w:r>
          </w:p>
        </w:tc>
      </w:tr>
      <w:tr w:rsidR="00DA6F1F" w14:paraId="2BD71915" w14:textId="2A591697" w:rsidTr="00DA6F1F">
        <w:tc>
          <w:tcPr>
            <w:tcW w:w="5035" w:type="dxa"/>
          </w:tcPr>
          <w:p w14:paraId="255802E1" w14:textId="30233D90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UniBIC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MeanAij</w:t>
            </w:r>
          </w:p>
        </w:tc>
        <w:tc>
          <w:tcPr>
            <w:tcW w:w="2250" w:type="dxa"/>
          </w:tcPr>
          <w:p w14:paraId="3C733C25" w14:textId="52FD7D9A" w:rsidR="00DA6F1F" w:rsidRDefault="00DA6F1F" w:rsidP="004C6C3C">
            <w:pPr>
              <w:keepNext/>
              <w:spacing w:line="276" w:lineRule="auto"/>
            </w:pPr>
            <w:r>
              <w:t>2e-203</w:t>
            </w:r>
          </w:p>
        </w:tc>
        <w:tc>
          <w:tcPr>
            <w:tcW w:w="2250" w:type="dxa"/>
          </w:tcPr>
          <w:p w14:paraId="36C4630B" w14:textId="6C2674C9" w:rsidR="00DA6F1F" w:rsidRPr="0009734F" w:rsidRDefault="00435BE7" w:rsidP="004C6C3C">
            <w:pPr>
              <w:keepNext/>
              <w:spacing w:line="276" w:lineRule="auto"/>
            </w:pPr>
            <w:r>
              <w:t>46.1</w:t>
            </w:r>
          </w:p>
        </w:tc>
      </w:tr>
      <w:tr w:rsidR="00DA6F1F" w14:paraId="588042BA" w14:textId="7FDE1C79" w:rsidTr="00DA6F1F">
        <w:tc>
          <w:tcPr>
            <w:tcW w:w="5035" w:type="dxa"/>
          </w:tcPr>
          <w:p w14:paraId="5C9B00AC" w14:textId="4B8CCFCF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LogSStat</w:t>
            </w:r>
            <w:r>
              <w:t xml:space="preserve"> + </w:t>
            </w:r>
            <w:r w:rsidRPr="001F2392">
              <w:rPr>
                <w:color w:val="FF0000"/>
              </w:rPr>
              <w:t>MinCor</w:t>
            </w:r>
          </w:p>
        </w:tc>
        <w:tc>
          <w:tcPr>
            <w:tcW w:w="2250" w:type="dxa"/>
          </w:tcPr>
          <w:p w14:paraId="41759FCD" w14:textId="740D03CD" w:rsidR="00DA6F1F" w:rsidRDefault="00DA6F1F" w:rsidP="004C6C3C">
            <w:pPr>
              <w:keepNext/>
              <w:spacing w:line="276" w:lineRule="auto"/>
            </w:pPr>
            <w:r>
              <w:t>1e-198</w:t>
            </w:r>
          </w:p>
        </w:tc>
        <w:tc>
          <w:tcPr>
            <w:tcW w:w="2250" w:type="dxa"/>
          </w:tcPr>
          <w:p w14:paraId="06F75475" w14:textId="21FCA5A3" w:rsidR="00DA6F1F" w:rsidRPr="0009734F" w:rsidRDefault="00435BE7" w:rsidP="004C6C3C">
            <w:pPr>
              <w:keepNext/>
              <w:spacing w:line="276" w:lineRule="auto"/>
            </w:pPr>
            <w:r>
              <w:t>7.4</w:t>
            </w:r>
          </w:p>
        </w:tc>
      </w:tr>
      <w:tr w:rsidR="00DA6F1F" w14:paraId="23544A07" w14:textId="092D8554" w:rsidTr="00DA6F1F">
        <w:tc>
          <w:tcPr>
            <w:tcW w:w="5035" w:type="dxa"/>
          </w:tcPr>
          <w:p w14:paraId="742929A0" w14:textId="3257B3E1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LogSStat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%off</w:t>
            </w:r>
          </w:p>
        </w:tc>
        <w:tc>
          <w:tcPr>
            <w:tcW w:w="2250" w:type="dxa"/>
          </w:tcPr>
          <w:p w14:paraId="6A2EE000" w14:textId="699C817F" w:rsidR="00DA6F1F" w:rsidRDefault="00DA6F1F" w:rsidP="004C6C3C">
            <w:pPr>
              <w:keepNext/>
              <w:spacing w:line="276" w:lineRule="auto"/>
            </w:pPr>
            <w:r>
              <w:t>2e-193</w:t>
            </w:r>
          </w:p>
        </w:tc>
        <w:tc>
          <w:tcPr>
            <w:tcW w:w="2250" w:type="dxa"/>
          </w:tcPr>
          <w:p w14:paraId="3260985F" w14:textId="2F20AD6D" w:rsidR="00DA6F1F" w:rsidRPr="0009734F" w:rsidRDefault="00435BE7" w:rsidP="004C6C3C">
            <w:pPr>
              <w:keepNext/>
              <w:spacing w:line="276" w:lineRule="auto"/>
            </w:pPr>
            <w:r>
              <w:t>2.1</w:t>
            </w:r>
          </w:p>
        </w:tc>
      </w:tr>
      <w:tr w:rsidR="00DA6F1F" w14:paraId="463BDDA9" w14:textId="7F11BB76" w:rsidTr="00DA6F1F">
        <w:tc>
          <w:tcPr>
            <w:tcW w:w="5035" w:type="dxa"/>
          </w:tcPr>
          <w:p w14:paraId="24F040AA" w14:textId="410145D4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LogSStat</w:t>
            </w:r>
            <w:r>
              <w:t xml:space="preserve"> with any other predictor (10 combinations)</w:t>
            </w:r>
          </w:p>
        </w:tc>
        <w:tc>
          <w:tcPr>
            <w:tcW w:w="2250" w:type="dxa"/>
          </w:tcPr>
          <w:p w14:paraId="2FED8609" w14:textId="6C2236C0" w:rsidR="00DA6F1F" w:rsidRDefault="00DA6F1F" w:rsidP="004C6C3C">
            <w:pPr>
              <w:keepNext/>
              <w:spacing w:line="276" w:lineRule="auto"/>
            </w:pPr>
            <w:r>
              <w:t>3e-191 to 8e-190</w:t>
            </w:r>
          </w:p>
        </w:tc>
        <w:tc>
          <w:tcPr>
            <w:tcW w:w="2250" w:type="dxa"/>
          </w:tcPr>
          <w:p w14:paraId="66519826" w14:textId="040E8AE5" w:rsidR="00DA6F1F" w:rsidRPr="0009734F" w:rsidRDefault="00435BE7" w:rsidP="004C6C3C">
            <w:pPr>
              <w:keepNext/>
              <w:spacing w:line="276" w:lineRule="auto"/>
            </w:pPr>
            <w:r>
              <w:t>-0.5 to -1.6</w:t>
            </w:r>
          </w:p>
        </w:tc>
      </w:tr>
      <w:tr w:rsidR="00DA6F1F" w14:paraId="7A365E86" w14:textId="358CA1EF" w:rsidTr="00DA6F1F">
        <w:tc>
          <w:tcPr>
            <w:tcW w:w="5035" w:type="dxa"/>
          </w:tcPr>
          <w:p w14:paraId="3F9417D3" w14:textId="779B5809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UniBIC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MeanEij</w:t>
            </w:r>
          </w:p>
        </w:tc>
        <w:tc>
          <w:tcPr>
            <w:tcW w:w="2250" w:type="dxa"/>
          </w:tcPr>
          <w:p w14:paraId="2F62BE96" w14:textId="5531888E" w:rsidR="00DA6F1F" w:rsidRDefault="00DA6F1F" w:rsidP="004C6C3C">
            <w:pPr>
              <w:keepNext/>
              <w:spacing w:line="276" w:lineRule="auto"/>
            </w:pPr>
            <w:r>
              <w:t>2e-189</w:t>
            </w:r>
          </w:p>
        </w:tc>
        <w:tc>
          <w:tcPr>
            <w:tcW w:w="2250" w:type="dxa"/>
          </w:tcPr>
          <w:p w14:paraId="6F2D233D" w14:textId="3674F5F4" w:rsidR="00DA6F1F" w:rsidRPr="0009734F" w:rsidRDefault="00435BE7" w:rsidP="004C6C3C">
            <w:pPr>
              <w:keepNext/>
              <w:spacing w:line="276" w:lineRule="auto"/>
            </w:pPr>
            <w:r>
              <w:t>32.2</w:t>
            </w:r>
          </w:p>
        </w:tc>
      </w:tr>
      <w:tr w:rsidR="00DA6F1F" w14:paraId="43C144DD" w14:textId="2F9635D4" w:rsidTr="00DA6F1F">
        <w:tc>
          <w:tcPr>
            <w:tcW w:w="5035" w:type="dxa"/>
          </w:tcPr>
          <w:p w14:paraId="5895B25B" w14:textId="6850872D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UniBIC</w:t>
            </w:r>
            <w:r>
              <w:t xml:space="preserve"> + </w:t>
            </w:r>
            <w:r w:rsidRPr="001F2392">
              <w:rPr>
                <w:color w:val="FF0000"/>
              </w:rPr>
              <w:t>SDEij</w:t>
            </w:r>
          </w:p>
        </w:tc>
        <w:tc>
          <w:tcPr>
            <w:tcW w:w="2250" w:type="dxa"/>
          </w:tcPr>
          <w:p w14:paraId="01E8318B" w14:textId="745EB025" w:rsidR="00DA6F1F" w:rsidRDefault="00DA6F1F" w:rsidP="004C6C3C">
            <w:pPr>
              <w:keepNext/>
              <w:spacing w:line="276" w:lineRule="auto"/>
            </w:pPr>
            <w:r>
              <w:t>1e-164</w:t>
            </w:r>
          </w:p>
        </w:tc>
        <w:tc>
          <w:tcPr>
            <w:tcW w:w="2250" w:type="dxa"/>
          </w:tcPr>
          <w:p w14:paraId="309BDDC2" w14:textId="16E59DDE" w:rsidR="00DA6F1F" w:rsidRPr="0009734F" w:rsidRDefault="00435BE7" w:rsidP="004C6C3C">
            <w:pPr>
              <w:keepNext/>
              <w:spacing w:line="276" w:lineRule="auto"/>
            </w:pPr>
            <w:r>
              <w:t>7.4</w:t>
            </w:r>
          </w:p>
        </w:tc>
      </w:tr>
      <w:tr w:rsidR="00DA6F1F" w14:paraId="329E78E4" w14:textId="7943ED32" w:rsidTr="00DA6F1F">
        <w:tc>
          <w:tcPr>
            <w:tcW w:w="5035" w:type="dxa"/>
          </w:tcPr>
          <w:p w14:paraId="26EC892B" w14:textId="4902ACB9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UniBIC</w:t>
            </w:r>
            <w:r>
              <w:t xml:space="preserve"> with any other predictor (10 combinations)</w:t>
            </w:r>
          </w:p>
        </w:tc>
        <w:tc>
          <w:tcPr>
            <w:tcW w:w="2250" w:type="dxa"/>
          </w:tcPr>
          <w:p w14:paraId="5B56F915" w14:textId="5B4DE6F7" w:rsidR="00DA6F1F" w:rsidRDefault="00DA6F1F" w:rsidP="004C6C3C">
            <w:pPr>
              <w:keepNext/>
              <w:spacing w:line="276" w:lineRule="auto"/>
            </w:pPr>
            <w:r>
              <w:t>5e-162 to 2e-158</w:t>
            </w:r>
          </w:p>
        </w:tc>
        <w:tc>
          <w:tcPr>
            <w:tcW w:w="2250" w:type="dxa"/>
          </w:tcPr>
          <w:p w14:paraId="3DEF9F29" w14:textId="4CCD5E57" w:rsidR="00DA6F1F" w:rsidRPr="0009734F" w:rsidRDefault="001E242C" w:rsidP="004C6C3C">
            <w:pPr>
              <w:keepNext/>
              <w:spacing w:line="276" w:lineRule="auto"/>
            </w:pPr>
            <w:r>
              <w:t>4.7 to 1.1</w:t>
            </w:r>
          </w:p>
        </w:tc>
      </w:tr>
      <w:tr w:rsidR="00DA6F1F" w14:paraId="42394C53" w14:textId="29DD9F6B" w:rsidTr="00DA6F1F">
        <w:tc>
          <w:tcPr>
            <w:tcW w:w="5035" w:type="dxa"/>
          </w:tcPr>
          <w:p w14:paraId="5CE60461" w14:textId="3D40DA6F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SDEij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%off</w:t>
            </w:r>
          </w:p>
        </w:tc>
        <w:tc>
          <w:tcPr>
            <w:tcW w:w="2250" w:type="dxa"/>
          </w:tcPr>
          <w:p w14:paraId="7F42D6D9" w14:textId="7C08B235" w:rsidR="00DA6F1F" w:rsidRDefault="00DA6F1F" w:rsidP="004C6C3C">
            <w:pPr>
              <w:keepNext/>
              <w:spacing w:line="276" w:lineRule="auto"/>
            </w:pPr>
            <w:r>
              <w:t>7e-146</w:t>
            </w:r>
          </w:p>
        </w:tc>
        <w:tc>
          <w:tcPr>
            <w:tcW w:w="2250" w:type="dxa"/>
          </w:tcPr>
          <w:p w14:paraId="36398318" w14:textId="058565C9" w:rsidR="00DA6F1F" w:rsidRPr="0009734F" w:rsidRDefault="001E242C" w:rsidP="004C6C3C">
            <w:pPr>
              <w:keepNext/>
              <w:spacing w:line="276" w:lineRule="auto"/>
            </w:pPr>
            <w:r>
              <w:t>51.6</w:t>
            </w:r>
          </w:p>
        </w:tc>
      </w:tr>
      <w:tr w:rsidR="00DA6F1F" w14:paraId="407EF6C4" w14:textId="180CEA7B" w:rsidTr="00DA6F1F">
        <w:tc>
          <w:tcPr>
            <w:tcW w:w="5035" w:type="dxa"/>
          </w:tcPr>
          <w:p w14:paraId="2AE0E01B" w14:textId="74A98BF1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MeanAij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%off</w:t>
            </w:r>
          </w:p>
        </w:tc>
        <w:tc>
          <w:tcPr>
            <w:tcW w:w="2250" w:type="dxa"/>
          </w:tcPr>
          <w:p w14:paraId="10023A30" w14:textId="276AA3F3" w:rsidR="00DA6F1F" w:rsidRDefault="00DA6F1F" w:rsidP="004C6C3C">
            <w:pPr>
              <w:keepNext/>
              <w:spacing w:line="276" w:lineRule="auto"/>
            </w:pPr>
            <w:r>
              <w:t>5e-125</w:t>
            </w:r>
          </w:p>
        </w:tc>
        <w:tc>
          <w:tcPr>
            <w:tcW w:w="2250" w:type="dxa"/>
          </w:tcPr>
          <w:p w14:paraId="428C25CF" w14:textId="6CDEBB1C" w:rsidR="00DA6F1F" w:rsidRPr="0009734F" w:rsidRDefault="001E242C" w:rsidP="004C6C3C">
            <w:pPr>
              <w:keepNext/>
              <w:spacing w:line="276" w:lineRule="auto"/>
            </w:pPr>
            <w:r>
              <w:t>30.7</w:t>
            </w:r>
          </w:p>
        </w:tc>
      </w:tr>
      <w:tr w:rsidR="00DA6F1F" w14:paraId="2B6D4AD5" w14:textId="2183DCDD" w:rsidTr="00DA6F1F">
        <w:tc>
          <w:tcPr>
            <w:tcW w:w="5035" w:type="dxa"/>
          </w:tcPr>
          <w:p w14:paraId="7C79DDD2" w14:textId="41205D72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SDEij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MeanAij</w:t>
            </w:r>
          </w:p>
        </w:tc>
        <w:tc>
          <w:tcPr>
            <w:tcW w:w="2250" w:type="dxa"/>
          </w:tcPr>
          <w:p w14:paraId="6A3FC4C9" w14:textId="11ADB2C9" w:rsidR="00DA6F1F" w:rsidRDefault="00DA6F1F" w:rsidP="004C6C3C">
            <w:pPr>
              <w:keepNext/>
              <w:spacing w:line="276" w:lineRule="auto"/>
            </w:pPr>
            <w:r>
              <w:t>2e-112</w:t>
            </w:r>
          </w:p>
        </w:tc>
        <w:tc>
          <w:tcPr>
            <w:tcW w:w="2250" w:type="dxa"/>
          </w:tcPr>
          <w:p w14:paraId="5ABCD549" w14:textId="07C37715" w:rsidR="00DA6F1F" w:rsidRPr="0009734F" w:rsidRDefault="001E242C" w:rsidP="004C6C3C">
            <w:pPr>
              <w:keepNext/>
              <w:spacing w:line="276" w:lineRule="auto"/>
            </w:pPr>
            <w:r>
              <w:t>35.0</w:t>
            </w:r>
          </w:p>
        </w:tc>
      </w:tr>
      <w:tr w:rsidR="00DA6F1F" w14:paraId="7B815A95" w14:textId="2770A814" w:rsidTr="00DA6F1F">
        <w:tc>
          <w:tcPr>
            <w:tcW w:w="5035" w:type="dxa"/>
          </w:tcPr>
          <w:p w14:paraId="37B09754" w14:textId="4FB090BA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%off</w:t>
            </w:r>
            <w:r>
              <w:t xml:space="preserve"> + </w:t>
            </w:r>
            <w:r w:rsidRPr="001F2392">
              <w:rPr>
                <w:color w:val="FF0000"/>
              </w:rPr>
              <w:t>MinCor</w:t>
            </w:r>
          </w:p>
        </w:tc>
        <w:tc>
          <w:tcPr>
            <w:tcW w:w="2250" w:type="dxa"/>
          </w:tcPr>
          <w:p w14:paraId="0CAA4763" w14:textId="510C78D4" w:rsidR="00DA6F1F" w:rsidRDefault="00DA6F1F" w:rsidP="004C6C3C">
            <w:pPr>
              <w:keepNext/>
              <w:spacing w:line="276" w:lineRule="auto"/>
            </w:pPr>
            <w:r>
              <w:t>8e-99</w:t>
            </w:r>
          </w:p>
        </w:tc>
        <w:tc>
          <w:tcPr>
            <w:tcW w:w="2250" w:type="dxa"/>
          </w:tcPr>
          <w:p w14:paraId="27ECD9C3" w14:textId="02F5D326" w:rsidR="00DA6F1F" w:rsidRPr="0009734F" w:rsidRDefault="001E242C" w:rsidP="004C6C3C">
            <w:pPr>
              <w:keepNext/>
              <w:spacing w:line="276" w:lineRule="auto"/>
            </w:pPr>
            <w:r>
              <w:t>4.6</w:t>
            </w:r>
          </w:p>
        </w:tc>
      </w:tr>
      <w:tr w:rsidR="00DA6F1F" w14:paraId="50387594" w14:textId="37B50542" w:rsidTr="00DA6F1F">
        <w:tc>
          <w:tcPr>
            <w:tcW w:w="5035" w:type="dxa"/>
          </w:tcPr>
          <w:p w14:paraId="0B140A5B" w14:textId="20257B93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%off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MeanEij</w:t>
            </w:r>
          </w:p>
        </w:tc>
        <w:tc>
          <w:tcPr>
            <w:tcW w:w="2250" w:type="dxa"/>
          </w:tcPr>
          <w:p w14:paraId="1ADDF624" w14:textId="5902800E" w:rsidR="00DA6F1F" w:rsidRDefault="00DA6F1F" w:rsidP="004C6C3C">
            <w:pPr>
              <w:keepNext/>
              <w:spacing w:line="276" w:lineRule="auto"/>
            </w:pPr>
            <w:r>
              <w:t>3e-97</w:t>
            </w:r>
          </w:p>
        </w:tc>
        <w:tc>
          <w:tcPr>
            <w:tcW w:w="2250" w:type="dxa"/>
          </w:tcPr>
          <w:p w14:paraId="36978095" w14:textId="5D9D9D8A" w:rsidR="00DA6F1F" w:rsidRPr="0009734F" w:rsidRDefault="001E242C" w:rsidP="004C6C3C">
            <w:pPr>
              <w:keepNext/>
              <w:spacing w:line="276" w:lineRule="auto"/>
            </w:pPr>
            <w:r>
              <w:t>3.0</w:t>
            </w:r>
          </w:p>
        </w:tc>
      </w:tr>
      <w:tr w:rsidR="00DA6F1F" w14:paraId="105BF10F" w14:textId="5E55C73B" w:rsidTr="00DA6F1F">
        <w:tc>
          <w:tcPr>
            <w:tcW w:w="5035" w:type="dxa"/>
          </w:tcPr>
          <w:p w14:paraId="0E0498AF" w14:textId="4FF78821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%off</w:t>
            </w:r>
            <w:r>
              <w:t xml:space="preserve"> with any other predictor (9 combinations)</w:t>
            </w:r>
          </w:p>
        </w:tc>
        <w:tc>
          <w:tcPr>
            <w:tcW w:w="2250" w:type="dxa"/>
          </w:tcPr>
          <w:p w14:paraId="61623A1A" w14:textId="16A0D104" w:rsidR="00DA6F1F" w:rsidRDefault="00DA6F1F" w:rsidP="004C6C3C">
            <w:pPr>
              <w:keepNext/>
              <w:spacing w:line="276" w:lineRule="auto"/>
            </w:pPr>
            <w:r>
              <w:t>4e-95 to 5e-93</w:t>
            </w:r>
          </w:p>
        </w:tc>
        <w:tc>
          <w:tcPr>
            <w:tcW w:w="2250" w:type="dxa"/>
          </w:tcPr>
          <w:p w14:paraId="1BC90617" w14:textId="1ADFE18B" w:rsidR="00DA6F1F" w:rsidRPr="0009734F" w:rsidRDefault="001E242C" w:rsidP="004C6C3C">
            <w:pPr>
              <w:keepNext/>
              <w:spacing w:line="276" w:lineRule="auto"/>
            </w:pPr>
            <w:r>
              <w:t>0.8 to -1.4</w:t>
            </w:r>
          </w:p>
        </w:tc>
      </w:tr>
      <w:tr w:rsidR="00DA6F1F" w14:paraId="2E8446CB" w14:textId="4BEFE388" w:rsidTr="00DA6F1F">
        <w:tc>
          <w:tcPr>
            <w:tcW w:w="5035" w:type="dxa"/>
          </w:tcPr>
          <w:p w14:paraId="220B21EB" w14:textId="327F4B9D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MeanEij</w:t>
            </w:r>
            <w:r>
              <w:t xml:space="preserve"> + </w:t>
            </w:r>
            <w:r w:rsidRPr="001F2392">
              <w:rPr>
                <w:color w:val="FF0000"/>
              </w:rPr>
              <w:t>SDEij</w:t>
            </w:r>
          </w:p>
        </w:tc>
        <w:tc>
          <w:tcPr>
            <w:tcW w:w="2250" w:type="dxa"/>
          </w:tcPr>
          <w:p w14:paraId="202109DE" w14:textId="5884929C" w:rsidR="00DA6F1F" w:rsidRDefault="00DA6F1F" w:rsidP="004C6C3C">
            <w:pPr>
              <w:keepNext/>
              <w:spacing w:line="276" w:lineRule="auto"/>
            </w:pPr>
            <w:r>
              <w:t>5e-87</w:t>
            </w:r>
          </w:p>
        </w:tc>
        <w:tc>
          <w:tcPr>
            <w:tcW w:w="2250" w:type="dxa"/>
          </w:tcPr>
          <w:p w14:paraId="4CF8A32F" w14:textId="7F8F87A5" w:rsidR="00DA6F1F" w:rsidRDefault="001E242C" w:rsidP="004C6C3C">
            <w:pPr>
              <w:keepNext/>
              <w:spacing w:line="276" w:lineRule="auto"/>
            </w:pPr>
            <w:r>
              <w:t>9.6</w:t>
            </w:r>
          </w:p>
        </w:tc>
      </w:tr>
      <w:tr w:rsidR="00DA6F1F" w14:paraId="7C8C341C" w14:textId="694BF613" w:rsidTr="00DA6F1F">
        <w:tc>
          <w:tcPr>
            <w:tcW w:w="5035" w:type="dxa"/>
          </w:tcPr>
          <w:p w14:paraId="31F3C290" w14:textId="296F3D1A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FF0000"/>
              </w:rPr>
              <w:t>SDEij</w:t>
            </w:r>
            <w:r>
              <w:t xml:space="preserve"> with any other predictor (10 combinations)</w:t>
            </w:r>
          </w:p>
        </w:tc>
        <w:tc>
          <w:tcPr>
            <w:tcW w:w="2250" w:type="dxa"/>
          </w:tcPr>
          <w:p w14:paraId="6F7BD44B" w14:textId="17B90C43" w:rsidR="00DA6F1F" w:rsidRDefault="00DA6F1F" w:rsidP="004C6C3C">
            <w:pPr>
              <w:keepNext/>
              <w:spacing w:line="276" w:lineRule="auto"/>
            </w:pPr>
            <w:r>
              <w:t>8e-81 to 3e-76</w:t>
            </w:r>
          </w:p>
        </w:tc>
        <w:tc>
          <w:tcPr>
            <w:tcW w:w="2250" w:type="dxa"/>
          </w:tcPr>
          <w:p w14:paraId="222C13F7" w14:textId="7273F2AD" w:rsidR="00DA6F1F" w:rsidRDefault="001E242C" w:rsidP="004C6C3C">
            <w:pPr>
              <w:keepNext/>
              <w:spacing w:line="276" w:lineRule="auto"/>
            </w:pPr>
            <w:r>
              <w:t>3.4 to -1.3</w:t>
            </w:r>
          </w:p>
        </w:tc>
      </w:tr>
      <w:tr w:rsidR="00DA6F1F" w14:paraId="10B8CF97" w14:textId="30897808" w:rsidTr="00DA6F1F">
        <w:tc>
          <w:tcPr>
            <w:tcW w:w="5035" w:type="dxa"/>
          </w:tcPr>
          <w:p w14:paraId="0D41A2B3" w14:textId="311834F1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MeanEij</w:t>
            </w:r>
            <w:r>
              <w:t xml:space="preserve"> + </w:t>
            </w:r>
            <w:r w:rsidRPr="001F2392">
              <w:rPr>
                <w:color w:val="2E74B5" w:themeColor="accent1" w:themeShade="BF"/>
              </w:rPr>
              <w:t>MeanAij</w:t>
            </w:r>
          </w:p>
        </w:tc>
        <w:tc>
          <w:tcPr>
            <w:tcW w:w="2250" w:type="dxa"/>
          </w:tcPr>
          <w:p w14:paraId="2A0B5B43" w14:textId="08B3C9C9" w:rsidR="00DA6F1F" w:rsidRDefault="00DA6F1F" w:rsidP="004C6C3C">
            <w:pPr>
              <w:keepNext/>
              <w:spacing w:line="276" w:lineRule="auto"/>
            </w:pPr>
            <w:r>
              <w:t>7e-56</w:t>
            </w:r>
          </w:p>
        </w:tc>
        <w:tc>
          <w:tcPr>
            <w:tcW w:w="2250" w:type="dxa"/>
          </w:tcPr>
          <w:p w14:paraId="24CE98C2" w14:textId="42134EA9" w:rsidR="00DA6F1F" w:rsidRDefault="001E242C" w:rsidP="004C6C3C">
            <w:pPr>
              <w:keepNext/>
              <w:spacing w:line="276" w:lineRule="auto"/>
            </w:pPr>
            <w:r>
              <w:t>14.3</w:t>
            </w:r>
          </w:p>
        </w:tc>
      </w:tr>
      <w:tr w:rsidR="00DA6F1F" w14:paraId="7B1177B4" w14:textId="2CA68AE4" w:rsidTr="00DA6F1F">
        <w:tc>
          <w:tcPr>
            <w:tcW w:w="5035" w:type="dxa"/>
          </w:tcPr>
          <w:p w14:paraId="4CB0BA08" w14:textId="7450DB64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MeanAij</w:t>
            </w:r>
            <w:r>
              <w:t xml:space="preserve"> + </w:t>
            </w:r>
            <w:r w:rsidRPr="001F2392">
              <w:rPr>
                <w:color w:val="FF0000"/>
              </w:rPr>
              <w:t>MinCor</w:t>
            </w:r>
          </w:p>
        </w:tc>
        <w:tc>
          <w:tcPr>
            <w:tcW w:w="2250" w:type="dxa"/>
          </w:tcPr>
          <w:p w14:paraId="32DD9E5F" w14:textId="5CFD6E15" w:rsidR="00DA6F1F" w:rsidRDefault="00DA6F1F" w:rsidP="004C6C3C">
            <w:pPr>
              <w:keepNext/>
              <w:spacing w:line="276" w:lineRule="auto"/>
            </w:pPr>
            <w:r>
              <w:t>4e-45</w:t>
            </w:r>
          </w:p>
        </w:tc>
        <w:tc>
          <w:tcPr>
            <w:tcW w:w="2250" w:type="dxa"/>
          </w:tcPr>
          <w:p w14:paraId="0C2B0C98" w14:textId="08E19816" w:rsidR="00DA6F1F" w:rsidRDefault="001E242C" w:rsidP="004C6C3C">
            <w:pPr>
              <w:keepNext/>
              <w:spacing w:line="276" w:lineRule="auto"/>
            </w:pPr>
            <w:r>
              <w:t>3.4</w:t>
            </w:r>
          </w:p>
        </w:tc>
      </w:tr>
      <w:tr w:rsidR="00DA6F1F" w14:paraId="40F345A2" w14:textId="306E8E61" w:rsidTr="00DA6F1F">
        <w:tc>
          <w:tcPr>
            <w:tcW w:w="5035" w:type="dxa"/>
          </w:tcPr>
          <w:p w14:paraId="7A45F81F" w14:textId="014FB35F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MeanAij</w:t>
            </w:r>
            <w:r>
              <w:t xml:space="preserve"> with any other predictor (9 combinations)</w:t>
            </w:r>
          </w:p>
        </w:tc>
        <w:tc>
          <w:tcPr>
            <w:tcW w:w="2250" w:type="dxa"/>
          </w:tcPr>
          <w:p w14:paraId="694CC375" w14:textId="6EFC1F99" w:rsidR="00DA6F1F" w:rsidRDefault="00DA6F1F" w:rsidP="004C6C3C">
            <w:pPr>
              <w:keepNext/>
              <w:spacing w:line="276" w:lineRule="auto"/>
            </w:pPr>
            <w:r>
              <w:t>2e-43 to 2e-40</w:t>
            </w:r>
          </w:p>
        </w:tc>
        <w:tc>
          <w:tcPr>
            <w:tcW w:w="2250" w:type="dxa"/>
          </w:tcPr>
          <w:p w14:paraId="1C58E8E5" w14:textId="2818E79C" w:rsidR="00DA6F1F" w:rsidRDefault="001E242C" w:rsidP="004C6C3C">
            <w:pPr>
              <w:keepNext/>
              <w:spacing w:line="276" w:lineRule="auto"/>
            </w:pPr>
            <w:r>
              <w:t>1.9 to -1.2</w:t>
            </w:r>
          </w:p>
        </w:tc>
      </w:tr>
      <w:tr w:rsidR="00DA6F1F" w14:paraId="7886003D" w14:textId="599A0D31" w:rsidTr="00DA6F1F">
        <w:tc>
          <w:tcPr>
            <w:tcW w:w="5035" w:type="dxa"/>
          </w:tcPr>
          <w:p w14:paraId="479AD51E" w14:textId="765402E1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MeanEij</w:t>
            </w:r>
            <w:r>
              <w:t xml:space="preserve"> + </w:t>
            </w:r>
            <w:r w:rsidRPr="001F2392">
              <w:rPr>
                <w:color w:val="FF0000"/>
              </w:rPr>
              <w:t>MinCor</w:t>
            </w:r>
          </w:p>
        </w:tc>
        <w:tc>
          <w:tcPr>
            <w:tcW w:w="2250" w:type="dxa"/>
          </w:tcPr>
          <w:p w14:paraId="19EEC847" w14:textId="3AA8ED91" w:rsidR="00DA6F1F" w:rsidRDefault="00DA6F1F" w:rsidP="004C6C3C">
            <w:pPr>
              <w:keepNext/>
              <w:spacing w:line="276" w:lineRule="auto"/>
            </w:pPr>
            <w:r>
              <w:t>2e-41</w:t>
            </w:r>
          </w:p>
        </w:tc>
        <w:tc>
          <w:tcPr>
            <w:tcW w:w="2250" w:type="dxa"/>
          </w:tcPr>
          <w:p w14:paraId="05F8FC54" w14:textId="3B3321E0" w:rsidR="00DA6F1F" w:rsidRDefault="001E242C" w:rsidP="004C6C3C">
            <w:pPr>
              <w:keepNext/>
              <w:spacing w:line="276" w:lineRule="auto"/>
            </w:pPr>
            <w:r>
              <w:t>1.9</w:t>
            </w:r>
          </w:p>
        </w:tc>
      </w:tr>
      <w:tr w:rsidR="00DA6F1F" w14:paraId="5E6673F9" w14:textId="0ADFE0A9" w:rsidTr="00DA6F1F">
        <w:tc>
          <w:tcPr>
            <w:tcW w:w="5035" w:type="dxa"/>
          </w:tcPr>
          <w:p w14:paraId="0F43A9E0" w14:textId="2D9A5CC9" w:rsidR="00DA6F1F" w:rsidRDefault="00DA6F1F" w:rsidP="004C6C3C">
            <w:pPr>
              <w:keepNext/>
              <w:spacing w:line="276" w:lineRule="auto"/>
            </w:pPr>
            <w:r w:rsidRPr="001F2392">
              <w:rPr>
                <w:color w:val="2E74B5" w:themeColor="accent1" w:themeShade="BF"/>
              </w:rPr>
              <w:t>MeanEij</w:t>
            </w:r>
            <w:r>
              <w:t xml:space="preserve"> with any other predictor (9 combinations)</w:t>
            </w:r>
          </w:p>
        </w:tc>
        <w:tc>
          <w:tcPr>
            <w:tcW w:w="2250" w:type="dxa"/>
          </w:tcPr>
          <w:p w14:paraId="31D89F5D" w14:textId="0B863DC3" w:rsidR="00DA6F1F" w:rsidRDefault="00DA6F1F" w:rsidP="004C6C3C">
            <w:pPr>
              <w:keepNext/>
              <w:spacing w:line="276" w:lineRule="auto"/>
            </w:pPr>
            <w:r>
              <w:t>2e-40 to 3e-38</w:t>
            </w:r>
          </w:p>
        </w:tc>
        <w:tc>
          <w:tcPr>
            <w:tcW w:w="2250" w:type="dxa"/>
          </w:tcPr>
          <w:p w14:paraId="49BA65AC" w14:textId="43F5C142" w:rsidR="00DA6F1F" w:rsidRDefault="001E242C" w:rsidP="004C6C3C">
            <w:pPr>
              <w:keepNext/>
              <w:spacing w:line="276" w:lineRule="auto"/>
            </w:pPr>
            <w:r>
              <w:t>1.0 to -1.2</w:t>
            </w:r>
          </w:p>
        </w:tc>
      </w:tr>
      <w:tr w:rsidR="00DA6F1F" w14:paraId="282C94ED" w14:textId="703772B5" w:rsidTr="00DA6F1F">
        <w:tc>
          <w:tcPr>
            <w:tcW w:w="5035" w:type="dxa"/>
          </w:tcPr>
          <w:p w14:paraId="3AE888DB" w14:textId="37FC0668" w:rsidR="00DA6F1F" w:rsidRDefault="00DA6F1F" w:rsidP="004C6C3C">
            <w:pPr>
              <w:spacing w:line="276" w:lineRule="auto"/>
            </w:pPr>
            <w:r>
              <w:t>Any other predictor combination (45 combinations)</w:t>
            </w:r>
          </w:p>
        </w:tc>
        <w:tc>
          <w:tcPr>
            <w:tcW w:w="2250" w:type="dxa"/>
          </w:tcPr>
          <w:p w14:paraId="05D71AD2" w14:textId="2A30C63B" w:rsidR="00DA6F1F" w:rsidRDefault="00DA6F1F" w:rsidP="004C6C3C">
            <w:pPr>
              <w:spacing w:line="276" w:lineRule="auto"/>
            </w:pPr>
            <w:r>
              <w:t>2e-8 to 0.3521</w:t>
            </w:r>
          </w:p>
        </w:tc>
        <w:tc>
          <w:tcPr>
            <w:tcW w:w="2250" w:type="dxa"/>
          </w:tcPr>
          <w:p w14:paraId="1A388DDB" w14:textId="40C2FA03" w:rsidR="00DA6F1F" w:rsidRDefault="001E242C" w:rsidP="004C6C3C">
            <w:pPr>
              <w:spacing w:line="276" w:lineRule="auto"/>
            </w:pPr>
            <w:r>
              <w:t>3.6 to -0.7</w:t>
            </w:r>
          </w:p>
        </w:tc>
      </w:tr>
    </w:tbl>
    <w:p w14:paraId="03795E83" w14:textId="5F54BE11" w:rsidR="00D41397" w:rsidRDefault="00D41397" w:rsidP="00D41397">
      <w:pPr>
        <w:spacing w:line="276" w:lineRule="auto"/>
      </w:pPr>
    </w:p>
    <w:p w14:paraId="75EE43D3" w14:textId="1B5B696C" w:rsidR="001F2392" w:rsidRDefault="001F2392" w:rsidP="00220E63">
      <w:pPr>
        <w:spacing w:line="276" w:lineRule="auto"/>
      </w:pPr>
      <w:r>
        <w:t xml:space="preserve">In the table, I made a distinction (based on my own classification) between predictors focused on identifying “not-changing-state” genes (these were colored </w:t>
      </w:r>
      <w:r w:rsidRPr="001F2392">
        <w:rPr>
          <w:color w:val="FF0000"/>
        </w:rPr>
        <w:t>red</w:t>
      </w:r>
      <w:r>
        <w:t xml:space="preserve"> in the table), and predictors focused on identifying “usually inactive” genes (these were colored </w:t>
      </w:r>
      <w:r w:rsidRPr="001F2392">
        <w:rPr>
          <w:color w:val="2E74B5" w:themeColor="accent1" w:themeShade="BF"/>
        </w:rPr>
        <w:t>blue</w:t>
      </w:r>
      <w:r>
        <w:t xml:space="preserve"> in the table).  </w:t>
      </w:r>
    </w:p>
    <w:p w14:paraId="4BB04441" w14:textId="53BE36BD" w:rsidR="00AA6DAE" w:rsidRDefault="00D75FFF" w:rsidP="00220E63">
      <w:pPr>
        <w:spacing w:line="276" w:lineRule="auto"/>
      </w:pPr>
      <w:r>
        <w:lastRenderedPageBreak/>
        <w:t>Especially noteworthy are combinations which</w:t>
      </w:r>
      <w:r w:rsidR="002C3EF9">
        <w:t xml:space="preserve"> performed much better</w:t>
      </w:r>
      <w:r w:rsidR="00C90840">
        <w:t xml:space="preserve"> (had substantially lower p-values)</w:t>
      </w:r>
      <w:r w:rsidR="002C3EF9">
        <w:t xml:space="preserve"> than </w:t>
      </w:r>
      <w:r w:rsidR="00C90840">
        <w:t xml:space="preserve">either of </w:t>
      </w:r>
      <w:r w:rsidR="002C3EF9">
        <w:t>their individual components</w:t>
      </w:r>
      <w:r>
        <w:t xml:space="preserve"> performed alone</w:t>
      </w:r>
      <w:r w:rsidR="002C3EF9">
        <w:t>.</w:t>
      </w:r>
      <w:r w:rsidR="00C90840">
        <w:t xml:space="preserve">  I call these “fruitful” combinations, </w:t>
      </w:r>
      <w:r w:rsidR="00DA6F1F">
        <w:t>and introduce a metric for “fru</w:t>
      </w:r>
      <w:r w:rsidR="00DA6F1F" w:rsidRPr="00DA6F1F">
        <w:t xml:space="preserve">itfulness”: </w:t>
      </w:r>
    </w:p>
    <w:p w14:paraId="165C8994" w14:textId="7C452826" w:rsidR="00AA6DAE" w:rsidRDefault="00AA6DAE" w:rsidP="00220E63">
      <w:pPr>
        <w:spacing w:line="276" w:lineRule="auto"/>
      </w:pPr>
      <m:oMathPara>
        <m:oMath>
          <m:r>
            <w:rPr>
              <w:rFonts w:ascii="Cambria Math" w:hAnsi="Cambria Math"/>
            </w:rPr>
            <m:t>Fruitfulness=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LRT,indiv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LRT,comb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A099CFD" w14:textId="45F6356B" w:rsidR="00DA6F1F" w:rsidRDefault="00435BE7" w:rsidP="00220E63">
      <w:pPr>
        <w:spacing w:line="276" w:lineRule="auto"/>
      </w:pPr>
      <w:r>
        <w:t>where</w:t>
      </w:r>
      <w:r w:rsidR="00AA6DAE"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LRT,indiv</m:t>
            </m:r>
          </m:sub>
        </m:sSub>
        <m:r>
          <w:rPr>
            <w:rFonts w:ascii="Cambria Math" w:hAnsi="Cambria Math"/>
          </w:rPr>
          <m:t>)</m:t>
        </m:r>
      </m:oMath>
      <w:r w:rsidR="00DA6F1F" w:rsidRPr="00DA6F1F">
        <w:t xml:space="preserve"> </w:t>
      </w:r>
      <w:r w:rsidR="00AA6DAE">
        <w:t>is</w:t>
      </w:r>
      <w:r w:rsidR="00DA6F1F">
        <w:t xml:space="preserve"> the</w:t>
      </w:r>
      <w:r w:rsidR="00DA6F1F" w:rsidRPr="00DA6F1F">
        <w:t xml:space="preserve"> </w:t>
      </w:r>
      <w:r w:rsidR="00DA6F1F">
        <w:t>stronger of the two LRT p-values of the individual components in the individual LRT analysis</w:t>
      </w:r>
      <w:r w:rsidR="00AA6DAE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LRT,comb</m:t>
            </m:r>
          </m:sub>
        </m:sSub>
      </m:oMath>
      <w:r w:rsidR="00AA6DAE">
        <w:rPr>
          <w:rFonts w:eastAsiaTheme="minorEastAsia"/>
        </w:rPr>
        <w:t xml:space="preserve"> is the LRT p-value of the combination</w:t>
      </w:r>
      <w:r w:rsidR="00DA6F1F">
        <w:t xml:space="preserve">.  </w:t>
      </w:r>
      <w:r w:rsidR="00AA6DAE">
        <w:t>“F</w:t>
      </w:r>
      <w:r w:rsidR="00DA6F1F">
        <w:t>ruitfulness” measures in some ways the contribution of the interaction to the overall p-value;</w:t>
      </w:r>
      <w:r w:rsidR="00AA6DAE">
        <w:t xml:space="preserve"> it measures how much smaller the combination’s p-value is than its </w:t>
      </w:r>
      <w:r w:rsidR="00D75FFF">
        <w:t>stronger</w:t>
      </w:r>
      <w:r w:rsidR="00AA6DAE">
        <w:t xml:space="preserve"> component</w:t>
      </w:r>
      <w:r w:rsidR="00D75FFF">
        <w:t>’</w:t>
      </w:r>
      <w:r w:rsidR="00AA6DAE">
        <w:t>s</w:t>
      </w:r>
      <w:r w:rsidR="00DA6F1F">
        <w:t>.</w:t>
      </w:r>
      <w:r w:rsidR="00AA6DAE">
        <w:t xml:space="preserve">  Taking the ratio the other way might be more intuitive, but I chose this way so that higher “Fruitfulnesss”</w:t>
      </w:r>
      <w:r w:rsidR="00EC0D68">
        <w:t xml:space="preserve"> indicates the combination was more fruitful.  Negative “Fruitfulness” indicates the combination did worse than one of its components alone did.  </w:t>
      </w:r>
      <w:r w:rsidR="00DA6F1F">
        <w:t>“Fruitfulness” of each combination is shown in the rightmost column of the table</w:t>
      </w:r>
      <w:r w:rsidR="0009734F">
        <w:t>.</w:t>
      </w:r>
      <w:r w:rsidR="00EC0D68">
        <w:t xml:space="preserve"> </w:t>
      </w:r>
    </w:p>
    <w:p w14:paraId="202F8072" w14:textId="29304D54" w:rsidR="00AD2289" w:rsidRDefault="002C3EF9" w:rsidP="00220E63">
      <w:pPr>
        <w:spacing w:line="276" w:lineRule="auto"/>
      </w:pPr>
      <w:r>
        <w:t xml:space="preserve">I make the case that the </w:t>
      </w:r>
      <w:r w:rsidR="00C90840">
        <w:t>most fruitful</w:t>
      </w:r>
      <w:r>
        <w:t xml:space="preserve"> combinations include one </w:t>
      </w:r>
      <w:r w:rsidR="00AD2289">
        <w:t xml:space="preserve">of each kind of </w:t>
      </w:r>
      <w:r>
        <w:t xml:space="preserve">predictor </w:t>
      </w:r>
      <w:r w:rsidR="00AD2289">
        <w:t>(red and</w:t>
      </w:r>
      <w:r w:rsidR="00DA6F1F">
        <w:t xml:space="preserve"> blue).</w:t>
      </w:r>
    </w:p>
    <w:p w14:paraId="1A5B8CE1" w14:textId="63AE3768" w:rsidR="004730BA" w:rsidRDefault="00AD2289" w:rsidP="00AD2289">
      <w:pPr>
        <w:pStyle w:val="ListParagraph"/>
        <w:numPr>
          <w:ilvl w:val="0"/>
          <w:numId w:val="8"/>
        </w:numPr>
        <w:spacing w:line="276" w:lineRule="auto"/>
      </w:pPr>
      <w:r>
        <w:t xml:space="preserve">First consider combinations involving </w:t>
      </w:r>
      <w:r w:rsidRPr="00AD2289">
        <w:rPr>
          <w:color w:val="FF0000"/>
        </w:rPr>
        <w:t>MultiBIC</w:t>
      </w:r>
      <w:r>
        <w:t>.  The four best combinations in the table</w:t>
      </w:r>
      <w:r w:rsidR="00D75FFF">
        <w:t>, in terms of model fit,</w:t>
      </w:r>
      <w:r>
        <w:t xml:space="preserve"> were pairings of </w:t>
      </w:r>
      <w:r w:rsidRPr="00AD2289">
        <w:rPr>
          <w:color w:val="FF0000"/>
        </w:rPr>
        <w:t>MultiBIC</w:t>
      </w:r>
      <w:r w:rsidRPr="00AD2289">
        <w:t xml:space="preserve">, </w:t>
      </w:r>
      <w:r>
        <w:t xml:space="preserve">the best red predictor, with the four best blue predictors.  Furthermore, these four combinations were the only </w:t>
      </w:r>
      <w:r w:rsidR="00D75FFF">
        <w:t xml:space="preserve">significantly </w:t>
      </w:r>
      <w:r w:rsidR="00C90840">
        <w:t xml:space="preserve">“fruitful” </w:t>
      </w:r>
      <w:r>
        <w:t xml:space="preserve">combinations involving </w:t>
      </w:r>
      <w:r w:rsidRPr="00AD2289">
        <w:rPr>
          <w:color w:val="FF0000"/>
        </w:rPr>
        <w:t>MultiBIC</w:t>
      </w:r>
      <w:r>
        <w:t xml:space="preserve"> </w:t>
      </w:r>
      <w:r w:rsidR="00C90840">
        <w:t xml:space="preserve">– all other combinations involving </w:t>
      </w:r>
      <w:r w:rsidR="00C90840" w:rsidRPr="00C90840">
        <w:rPr>
          <w:color w:val="FF0000"/>
        </w:rPr>
        <w:t>MultiBIC</w:t>
      </w:r>
      <w:r w:rsidR="00C90840">
        <w:t xml:space="preserve"> produced about the same </w:t>
      </w:r>
      <w:r>
        <w:t xml:space="preserve">results </w:t>
      </w:r>
      <w:r w:rsidR="00C90840">
        <w:t>as</w:t>
      </w:r>
      <w:r>
        <w:t xml:space="preserve"> </w:t>
      </w:r>
      <w:r w:rsidRPr="00AD2289">
        <w:rPr>
          <w:color w:val="FF0000"/>
        </w:rPr>
        <w:t>MultiBIC</w:t>
      </w:r>
      <w:r>
        <w:t xml:space="preserve"> alone.  In particular, the red predictors </w:t>
      </w:r>
      <w:r w:rsidRPr="00AD2289">
        <w:rPr>
          <w:color w:val="FF0000"/>
        </w:rPr>
        <w:t>UniBIC</w:t>
      </w:r>
      <w:r>
        <w:t xml:space="preserve"> and </w:t>
      </w:r>
      <w:r w:rsidRPr="00AD2289">
        <w:rPr>
          <w:color w:val="FF0000"/>
        </w:rPr>
        <w:t>SDEij</w:t>
      </w:r>
      <w:r>
        <w:t xml:space="preserve">, although they performed very well on their own, barely added anything to the power of </w:t>
      </w:r>
      <w:r w:rsidRPr="00AD2289">
        <w:rPr>
          <w:color w:val="FF0000"/>
        </w:rPr>
        <w:t>MultiBIC</w:t>
      </w:r>
      <w:r>
        <w:t xml:space="preserve">, whereas the blue predictors </w:t>
      </w:r>
      <w:r w:rsidRPr="00AD2289">
        <w:rPr>
          <w:color w:val="2E74B5" w:themeColor="accent1" w:themeShade="BF"/>
        </w:rPr>
        <w:t>MeanAij</w:t>
      </w:r>
      <w:r>
        <w:t xml:space="preserve"> and </w:t>
      </w:r>
      <w:r w:rsidRPr="00AD2289">
        <w:rPr>
          <w:color w:val="2E74B5" w:themeColor="accent1" w:themeShade="BF"/>
        </w:rPr>
        <w:t>MeanEij</w:t>
      </w:r>
      <w:r>
        <w:t xml:space="preserve">, each much worse than </w:t>
      </w:r>
      <w:r w:rsidRPr="00AD2289">
        <w:rPr>
          <w:color w:val="FF0000"/>
        </w:rPr>
        <w:t>UniBIC</w:t>
      </w:r>
      <w:r>
        <w:t xml:space="preserve"> and </w:t>
      </w:r>
      <w:r w:rsidRPr="00AD2289">
        <w:rPr>
          <w:color w:val="FF0000"/>
        </w:rPr>
        <w:t>SDEij</w:t>
      </w:r>
      <w:r>
        <w:t xml:space="preserve"> on their own, significantly enhanced the predictive power of </w:t>
      </w:r>
      <w:r w:rsidRPr="00AD2289">
        <w:rPr>
          <w:color w:val="FF0000"/>
        </w:rPr>
        <w:t>MultiBIC</w:t>
      </w:r>
      <w:r w:rsidR="00D75FFF">
        <w:t xml:space="preserve">.  </w:t>
      </w:r>
    </w:p>
    <w:p w14:paraId="135862AB" w14:textId="1725971B" w:rsidR="00C90840" w:rsidRDefault="00C90840" w:rsidP="00AD2289">
      <w:pPr>
        <w:pStyle w:val="ListParagraph"/>
        <w:numPr>
          <w:ilvl w:val="0"/>
          <w:numId w:val="8"/>
        </w:numPr>
        <w:spacing w:line="276" w:lineRule="auto"/>
      </w:pPr>
      <w:r w:rsidRPr="00C90840">
        <w:rPr>
          <w:color w:val="FF0000"/>
        </w:rPr>
        <w:t>UniBIC</w:t>
      </w:r>
      <w:r>
        <w:t xml:space="preserve"> behaves similarly.  Combinations with </w:t>
      </w:r>
      <w:r w:rsidRPr="00C90840">
        <w:rPr>
          <w:color w:val="2E74B5" w:themeColor="accent1" w:themeShade="BF"/>
        </w:rPr>
        <w:t>LogSStat</w:t>
      </w:r>
      <w:r>
        <w:t xml:space="preserve">, </w:t>
      </w:r>
      <w:r w:rsidRPr="00C90840">
        <w:rPr>
          <w:color w:val="2E74B5" w:themeColor="accent1" w:themeShade="BF"/>
        </w:rPr>
        <w:t>%off</w:t>
      </w:r>
      <w:r>
        <w:t xml:space="preserve">, </w:t>
      </w:r>
      <w:r w:rsidRPr="00C90840">
        <w:rPr>
          <w:color w:val="2E74B5" w:themeColor="accent1" w:themeShade="BF"/>
        </w:rPr>
        <w:t>MeanAij</w:t>
      </w:r>
      <w:r>
        <w:t xml:space="preserve">, and </w:t>
      </w:r>
      <w:r w:rsidRPr="00C90840">
        <w:rPr>
          <w:color w:val="2E74B5" w:themeColor="accent1" w:themeShade="BF"/>
        </w:rPr>
        <w:t>MeanEij</w:t>
      </w:r>
      <w:r>
        <w:t xml:space="preserve"> are fruitful, whereas combinations with </w:t>
      </w:r>
      <w:r>
        <w:rPr>
          <w:color w:val="FF0000"/>
        </w:rPr>
        <w:t>Mult</w:t>
      </w:r>
      <w:r w:rsidRPr="00AD2289">
        <w:rPr>
          <w:color w:val="FF0000"/>
        </w:rPr>
        <w:t>iBIC</w:t>
      </w:r>
      <w:r>
        <w:t xml:space="preserve"> and </w:t>
      </w:r>
      <w:r w:rsidRPr="00AD2289">
        <w:rPr>
          <w:color w:val="FF0000"/>
        </w:rPr>
        <w:t>SDEij</w:t>
      </w:r>
      <w:r>
        <w:t xml:space="preserve"> are not, despite the individual power of those red predictors. </w:t>
      </w:r>
    </w:p>
    <w:p w14:paraId="38C54B11" w14:textId="18AE8D6B" w:rsidR="006D0CC9" w:rsidRDefault="006D0CC9" w:rsidP="00AD2289">
      <w:pPr>
        <w:pStyle w:val="ListParagraph"/>
        <w:numPr>
          <w:ilvl w:val="0"/>
          <w:numId w:val="8"/>
        </w:numPr>
        <w:spacing w:line="276" w:lineRule="auto"/>
      </w:pPr>
      <w:r>
        <w:t xml:space="preserve">Rounding out the strong red predictors, we see the same behavior in </w:t>
      </w:r>
      <w:r w:rsidRPr="006D0CC9">
        <w:rPr>
          <w:color w:val="FF0000"/>
        </w:rPr>
        <w:t>SDEij</w:t>
      </w:r>
      <w:r>
        <w:t xml:space="preserve">.  Examining the table, we see that combinations with </w:t>
      </w:r>
      <w:r w:rsidRPr="00C90840">
        <w:rPr>
          <w:color w:val="2E74B5" w:themeColor="accent1" w:themeShade="BF"/>
        </w:rPr>
        <w:t>LogSStat</w:t>
      </w:r>
      <w:r>
        <w:t xml:space="preserve">, </w:t>
      </w:r>
      <w:r w:rsidRPr="00C90840">
        <w:rPr>
          <w:color w:val="2E74B5" w:themeColor="accent1" w:themeShade="BF"/>
        </w:rPr>
        <w:t>%off</w:t>
      </w:r>
      <w:r>
        <w:t xml:space="preserve">, </w:t>
      </w:r>
      <w:r w:rsidRPr="00C90840">
        <w:rPr>
          <w:color w:val="2E74B5" w:themeColor="accent1" w:themeShade="BF"/>
        </w:rPr>
        <w:t>MeanAij</w:t>
      </w:r>
      <w:r>
        <w:t xml:space="preserve">, and </w:t>
      </w:r>
      <w:r w:rsidRPr="00C90840">
        <w:rPr>
          <w:color w:val="2E74B5" w:themeColor="accent1" w:themeShade="BF"/>
        </w:rPr>
        <w:t>MeanEij</w:t>
      </w:r>
      <w:r>
        <w:t xml:space="preserve"> are fruitful, and combinations with </w:t>
      </w:r>
      <w:r>
        <w:rPr>
          <w:color w:val="FF0000"/>
        </w:rPr>
        <w:t>Mult</w:t>
      </w:r>
      <w:r w:rsidRPr="00AD2289">
        <w:rPr>
          <w:color w:val="FF0000"/>
        </w:rPr>
        <w:t>iBIC</w:t>
      </w:r>
      <w:r>
        <w:t xml:space="preserve"> and </w:t>
      </w:r>
      <w:r>
        <w:rPr>
          <w:color w:val="FF0000"/>
        </w:rPr>
        <w:t>UniBIC</w:t>
      </w:r>
      <w:r>
        <w:t xml:space="preserve"> are not. </w:t>
      </w:r>
    </w:p>
    <w:p w14:paraId="383F1216" w14:textId="5B0F2474" w:rsidR="00E82380" w:rsidRDefault="00E82380" w:rsidP="00E82380">
      <w:pPr>
        <w:pStyle w:val="ListParagraph"/>
        <w:numPr>
          <w:ilvl w:val="0"/>
          <w:numId w:val="8"/>
        </w:numPr>
        <w:spacing w:line="276" w:lineRule="auto"/>
      </w:pPr>
      <w:r>
        <w:t xml:space="preserve">Even red predictor </w:t>
      </w:r>
      <w:r w:rsidRPr="00AD2289">
        <w:rPr>
          <w:color w:val="FF0000"/>
        </w:rPr>
        <w:t>MinCor</w:t>
      </w:r>
      <w:r>
        <w:t xml:space="preserve">, which is much weaker on its own than most other predictors we talk about a lot, follows this pattern.  When paired with stronger red predictors – e.g. </w:t>
      </w:r>
      <w:r w:rsidRPr="00C90840">
        <w:rPr>
          <w:color w:val="FF0000"/>
        </w:rPr>
        <w:t>MultiBIC</w:t>
      </w:r>
      <w:r>
        <w:t xml:space="preserve">, </w:t>
      </w:r>
      <w:r w:rsidRPr="00C90840">
        <w:rPr>
          <w:color w:val="FF0000"/>
        </w:rPr>
        <w:t>UniBIC</w:t>
      </w:r>
      <w:r>
        <w:t xml:space="preserve">, </w:t>
      </w:r>
      <w:r w:rsidRPr="00C90840">
        <w:rPr>
          <w:color w:val="FF0000"/>
        </w:rPr>
        <w:t>SDEij</w:t>
      </w:r>
      <w:r>
        <w:t xml:space="preserve"> – the combination is unfruitful; it doesn’t do much better than the stronger red predictor did on its own.  However, when paired with blue predictors – e.g. </w:t>
      </w:r>
      <w:r w:rsidRPr="00C90840">
        <w:rPr>
          <w:color w:val="2E74B5" w:themeColor="accent1" w:themeShade="BF"/>
        </w:rPr>
        <w:t>LogSStat</w:t>
      </w:r>
      <w:r>
        <w:t xml:space="preserve">, </w:t>
      </w:r>
      <w:r w:rsidRPr="00C90840">
        <w:rPr>
          <w:color w:val="2E74B5" w:themeColor="accent1" w:themeShade="BF"/>
        </w:rPr>
        <w:t>%off</w:t>
      </w:r>
      <w:r>
        <w:t xml:space="preserve">, </w:t>
      </w:r>
      <w:r w:rsidRPr="00C90840">
        <w:rPr>
          <w:color w:val="2E74B5" w:themeColor="accent1" w:themeShade="BF"/>
        </w:rPr>
        <w:t>MeanAij</w:t>
      </w:r>
      <w:r>
        <w:t xml:space="preserve">, </w:t>
      </w:r>
      <w:r w:rsidRPr="00C90840">
        <w:rPr>
          <w:color w:val="2E74B5" w:themeColor="accent1" w:themeShade="BF"/>
        </w:rPr>
        <w:t>MeanEij</w:t>
      </w:r>
      <w:r>
        <w:t xml:space="preserve"> – the combination is fruitful, and does (slightly but noticeably) outperform its individual components. </w:t>
      </w:r>
      <w:r w:rsidR="001F6853">
        <w:t xml:space="preserve"> Quantitatively, it has good fruitfulness given its individual</w:t>
      </w:r>
      <w:r w:rsidR="00566343">
        <w:t>ly</w:t>
      </w:r>
      <w:r w:rsidR="001F6853">
        <w:t xml:space="preserve"> low </w:t>
      </w:r>
      <w:r w:rsidR="00AA6DAE">
        <w:t xml:space="preserve">predictive </w:t>
      </w:r>
      <w:r w:rsidR="001F6853">
        <w:t>power; perhaps we should introdu</w:t>
      </w:r>
      <w:r w:rsidR="00AA6DAE">
        <w:t xml:space="preserve">ce </w:t>
      </w:r>
      <w:r w:rsidR="00EC0D68">
        <w:t>some kind of</w:t>
      </w:r>
      <w:r w:rsidR="00AA6DAE">
        <w:t xml:space="preserve"> fruitfulness-to-power ratio. </w:t>
      </w:r>
    </w:p>
    <w:p w14:paraId="2FD24B9B" w14:textId="68110FB5" w:rsidR="00B36D13" w:rsidRDefault="00B36D13" w:rsidP="00AD2289">
      <w:pPr>
        <w:pStyle w:val="ListParagraph"/>
        <w:numPr>
          <w:ilvl w:val="0"/>
          <w:numId w:val="8"/>
        </w:numPr>
        <w:spacing w:line="276" w:lineRule="auto"/>
      </w:pPr>
      <w:r>
        <w:t xml:space="preserve">Conversely, blue predictors </w:t>
      </w:r>
      <w:r>
        <w:rPr>
          <w:color w:val="2E74B5" w:themeColor="accent1" w:themeShade="BF"/>
        </w:rPr>
        <w:t>LogSStat</w:t>
      </w:r>
      <w:r>
        <w:t xml:space="preserve"> and </w:t>
      </w:r>
      <w:r w:rsidRPr="00C90840">
        <w:rPr>
          <w:color w:val="2E74B5" w:themeColor="accent1" w:themeShade="BF"/>
        </w:rPr>
        <w:t>%off</w:t>
      </w:r>
      <w:r>
        <w:t xml:space="preserve"> have fruitful combinations with the major red predictors, but not other blue predictors such as each other, or </w:t>
      </w:r>
      <w:r w:rsidRPr="00C90840">
        <w:rPr>
          <w:color w:val="2E74B5" w:themeColor="accent1" w:themeShade="BF"/>
        </w:rPr>
        <w:t>MeanEij</w:t>
      </w:r>
      <w:r>
        <w:t xml:space="preserve">.  </w:t>
      </w:r>
    </w:p>
    <w:p w14:paraId="7DE57D9E" w14:textId="1A78816D" w:rsidR="00B36D13" w:rsidRDefault="00B36D13" w:rsidP="00AD2289">
      <w:pPr>
        <w:pStyle w:val="ListParagraph"/>
        <w:numPr>
          <w:ilvl w:val="0"/>
          <w:numId w:val="8"/>
        </w:numPr>
        <w:spacing w:line="276" w:lineRule="auto"/>
      </w:pPr>
      <w:r>
        <w:t xml:space="preserve">However, </w:t>
      </w:r>
      <w:r>
        <w:rPr>
          <w:color w:val="2E74B5" w:themeColor="accent1" w:themeShade="BF"/>
        </w:rPr>
        <w:t>MeanAij</w:t>
      </w:r>
      <w:r>
        <w:t xml:space="preserve"> does have fruitful combinations with blue predictors </w:t>
      </w:r>
      <w:r>
        <w:rPr>
          <w:color w:val="2E74B5" w:themeColor="accent1" w:themeShade="BF"/>
        </w:rPr>
        <w:t>LogSStat</w:t>
      </w:r>
      <w:r>
        <w:t xml:space="preserve">, </w:t>
      </w:r>
      <w:r w:rsidRPr="00C90840">
        <w:rPr>
          <w:color w:val="2E74B5" w:themeColor="accent1" w:themeShade="BF"/>
        </w:rPr>
        <w:t>%off</w:t>
      </w:r>
      <w:r>
        <w:t xml:space="preserve">, and </w:t>
      </w:r>
      <w:r w:rsidRPr="00C90840">
        <w:rPr>
          <w:color w:val="2E74B5" w:themeColor="accent1" w:themeShade="BF"/>
        </w:rPr>
        <w:t>MeanEij</w:t>
      </w:r>
      <w:r w:rsidR="00E82380">
        <w:t xml:space="preserve">, in addition to the </w:t>
      </w:r>
      <w:r>
        <w:t>red predictors</w:t>
      </w:r>
      <w:r w:rsidR="00E82380">
        <w:t xml:space="preserve"> mentioned above</w:t>
      </w:r>
      <w:r>
        <w:t xml:space="preserve">.  In fact, this means </w:t>
      </w:r>
      <w:r>
        <w:rPr>
          <w:color w:val="2E74B5" w:themeColor="accent1" w:themeShade="BF"/>
        </w:rPr>
        <w:t>MeanAij</w:t>
      </w:r>
      <w:r>
        <w:t xml:space="preserve"> has fruitful combinations with every major predictor.  One possible explanation for this is that, thanks to the sophisticated MultiMM-with-filtering process described in the Bayesian paper, </w:t>
      </w:r>
      <w:r w:rsidRPr="00B36D13">
        <w:rPr>
          <w:color w:val="2E74B5" w:themeColor="accent1" w:themeShade="BF"/>
        </w:rPr>
        <w:lastRenderedPageBreak/>
        <w:t>MeanAij</w:t>
      </w:r>
      <w:r>
        <w:t xml:space="preserve"> actually contains both blue and red information, meaning it has something to add to both red and blue predictors. </w:t>
      </w:r>
    </w:p>
    <w:p w14:paraId="74909B68" w14:textId="77777777" w:rsidR="00220E63" w:rsidRPr="00951FDB" w:rsidRDefault="00220E63" w:rsidP="00C142F2">
      <w:pPr>
        <w:spacing w:line="276" w:lineRule="auto"/>
      </w:pPr>
      <w:bookmarkStart w:id="0" w:name="_GoBack"/>
      <w:bookmarkEnd w:id="0"/>
    </w:p>
    <w:sectPr w:rsidR="00220E63" w:rsidRPr="0095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BCDEA" w14:textId="77777777" w:rsidR="00BB4DD0" w:rsidRDefault="00BB4DD0" w:rsidP="00AA6DAE">
      <w:pPr>
        <w:spacing w:after="0" w:line="240" w:lineRule="auto"/>
      </w:pPr>
      <w:r>
        <w:separator/>
      </w:r>
    </w:p>
  </w:endnote>
  <w:endnote w:type="continuationSeparator" w:id="0">
    <w:p w14:paraId="79F49406" w14:textId="77777777" w:rsidR="00BB4DD0" w:rsidRDefault="00BB4DD0" w:rsidP="00AA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63A1A" w14:textId="77777777" w:rsidR="00BB4DD0" w:rsidRDefault="00BB4DD0" w:rsidP="00AA6DAE">
      <w:pPr>
        <w:spacing w:after="0" w:line="240" w:lineRule="auto"/>
      </w:pPr>
      <w:r>
        <w:separator/>
      </w:r>
    </w:p>
  </w:footnote>
  <w:footnote w:type="continuationSeparator" w:id="0">
    <w:p w14:paraId="31C9784D" w14:textId="77777777" w:rsidR="00BB4DD0" w:rsidRDefault="00BB4DD0" w:rsidP="00AA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029C4"/>
    <w:multiLevelType w:val="hybridMultilevel"/>
    <w:tmpl w:val="FA98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A3DC1"/>
    <w:multiLevelType w:val="hybridMultilevel"/>
    <w:tmpl w:val="BECC223A"/>
    <w:lvl w:ilvl="0" w:tplc="237EFA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B0518"/>
    <w:multiLevelType w:val="hybridMultilevel"/>
    <w:tmpl w:val="17B4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00B5A"/>
    <w:multiLevelType w:val="multilevel"/>
    <w:tmpl w:val="490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56CC4"/>
    <w:multiLevelType w:val="hybridMultilevel"/>
    <w:tmpl w:val="CD14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A04F8"/>
    <w:multiLevelType w:val="hybridMultilevel"/>
    <w:tmpl w:val="B4A4804C"/>
    <w:lvl w:ilvl="0" w:tplc="237EFA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3C0"/>
    <w:multiLevelType w:val="hybridMultilevel"/>
    <w:tmpl w:val="3EBE80A8"/>
    <w:lvl w:ilvl="0" w:tplc="B1102C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85612"/>
    <w:multiLevelType w:val="hybridMultilevel"/>
    <w:tmpl w:val="749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B9"/>
    <w:rsid w:val="000007FE"/>
    <w:rsid w:val="00000A87"/>
    <w:rsid w:val="00001288"/>
    <w:rsid w:val="00001500"/>
    <w:rsid w:val="0000236C"/>
    <w:rsid w:val="000026E3"/>
    <w:rsid w:val="00002F97"/>
    <w:rsid w:val="000031E9"/>
    <w:rsid w:val="000034CB"/>
    <w:rsid w:val="00003E23"/>
    <w:rsid w:val="000042D0"/>
    <w:rsid w:val="00005DEE"/>
    <w:rsid w:val="0000745E"/>
    <w:rsid w:val="00007E22"/>
    <w:rsid w:val="000117DD"/>
    <w:rsid w:val="00011A0D"/>
    <w:rsid w:val="00012276"/>
    <w:rsid w:val="00012BE6"/>
    <w:rsid w:val="0001307F"/>
    <w:rsid w:val="000131C2"/>
    <w:rsid w:val="00013618"/>
    <w:rsid w:val="00013F7A"/>
    <w:rsid w:val="00014403"/>
    <w:rsid w:val="000175AF"/>
    <w:rsid w:val="000176EC"/>
    <w:rsid w:val="0001788C"/>
    <w:rsid w:val="0002023E"/>
    <w:rsid w:val="0002145E"/>
    <w:rsid w:val="000214EF"/>
    <w:rsid w:val="0002168A"/>
    <w:rsid w:val="00021765"/>
    <w:rsid w:val="0002255C"/>
    <w:rsid w:val="0002313C"/>
    <w:rsid w:val="00023444"/>
    <w:rsid w:val="0002384B"/>
    <w:rsid w:val="000239EE"/>
    <w:rsid w:val="00023D13"/>
    <w:rsid w:val="0002410B"/>
    <w:rsid w:val="000241CE"/>
    <w:rsid w:val="00025666"/>
    <w:rsid w:val="000266CF"/>
    <w:rsid w:val="000337F0"/>
    <w:rsid w:val="00033810"/>
    <w:rsid w:val="0003395C"/>
    <w:rsid w:val="00036F57"/>
    <w:rsid w:val="00037954"/>
    <w:rsid w:val="00041298"/>
    <w:rsid w:val="000419F5"/>
    <w:rsid w:val="00042202"/>
    <w:rsid w:val="00042792"/>
    <w:rsid w:val="00042C1D"/>
    <w:rsid w:val="00045462"/>
    <w:rsid w:val="00045618"/>
    <w:rsid w:val="000462FF"/>
    <w:rsid w:val="000465B4"/>
    <w:rsid w:val="00046D38"/>
    <w:rsid w:val="00047105"/>
    <w:rsid w:val="00050441"/>
    <w:rsid w:val="00050551"/>
    <w:rsid w:val="00050B08"/>
    <w:rsid w:val="000515AA"/>
    <w:rsid w:val="0005317C"/>
    <w:rsid w:val="0005439F"/>
    <w:rsid w:val="000544AB"/>
    <w:rsid w:val="000548C0"/>
    <w:rsid w:val="000550CC"/>
    <w:rsid w:val="000554B9"/>
    <w:rsid w:val="000559BD"/>
    <w:rsid w:val="000600BF"/>
    <w:rsid w:val="000601CB"/>
    <w:rsid w:val="000603B5"/>
    <w:rsid w:val="000618A6"/>
    <w:rsid w:val="00061DD3"/>
    <w:rsid w:val="000645F8"/>
    <w:rsid w:val="000651BC"/>
    <w:rsid w:val="00065CCA"/>
    <w:rsid w:val="00066072"/>
    <w:rsid w:val="00067401"/>
    <w:rsid w:val="000676D8"/>
    <w:rsid w:val="000677A8"/>
    <w:rsid w:val="00070099"/>
    <w:rsid w:val="00071039"/>
    <w:rsid w:val="00071183"/>
    <w:rsid w:val="000726FD"/>
    <w:rsid w:val="0007323C"/>
    <w:rsid w:val="0007405C"/>
    <w:rsid w:val="00074F05"/>
    <w:rsid w:val="000756BA"/>
    <w:rsid w:val="00076386"/>
    <w:rsid w:val="00076585"/>
    <w:rsid w:val="00076A10"/>
    <w:rsid w:val="00076B24"/>
    <w:rsid w:val="00076B9B"/>
    <w:rsid w:val="00076BE4"/>
    <w:rsid w:val="00076DE7"/>
    <w:rsid w:val="00077163"/>
    <w:rsid w:val="000820F5"/>
    <w:rsid w:val="0008240D"/>
    <w:rsid w:val="00082DCA"/>
    <w:rsid w:val="000834ED"/>
    <w:rsid w:val="00085986"/>
    <w:rsid w:val="00085C29"/>
    <w:rsid w:val="00085D00"/>
    <w:rsid w:val="00085FCB"/>
    <w:rsid w:val="00086AAE"/>
    <w:rsid w:val="00086DB1"/>
    <w:rsid w:val="00087497"/>
    <w:rsid w:val="0008795D"/>
    <w:rsid w:val="00090139"/>
    <w:rsid w:val="00090FFC"/>
    <w:rsid w:val="000915D6"/>
    <w:rsid w:val="00093C77"/>
    <w:rsid w:val="00094245"/>
    <w:rsid w:val="0009452E"/>
    <w:rsid w:val="00094FB9"/>
    <w:rsid w:val="00095032"/>
    <w:rsid w:val="00095416"/>
    <w:rsid w:val="0009734F"/>
    <w:rsid w:val="00097EBC"/>
    <w:rsid w:val="000A025A"/>
    <w:rsid w:val="000A22B1"/>
    <w:rsid w:val="000A2C66"/>
    <w:rsid w:val="000A2CD4"/>
    <w:rsid w:val="000A41F0"/>
    <w:rsid w:val="000A6E3D"/>
    <w:rsid w:val="000A7058"/>
    <w:rsid w:val="000A78F0"/>
    <w:rsid w:val="000A797C"/>
    <w:rsid w:val="000A79FE"/>
    <w:rsid w:val="000B0CC7"/>
    <w:rsid w:val="000B1D0A"/>
    <w:rsid w:val="000B2BEB"/>
    <w:rsid w:val="000B317C"/>
    <w:rsid w:val="000B37DC"/>
    <w:rsid w:val="000B44EC"/>
    <w:rsid w:val="000B4BCB"/>
    <w:rsid w:val="000B4C5F"/>
    <w:rsid w:val="000B5797"/>
    <w:rsid w:val="000B5C64"/>
    <w:rsid w:val="000B6C33"/>
    <w:rsid w:val="000B6D3B"/>
    <w:rsid w:val="000B6DFD"/>
    <w:rsid w:val="000C031C"/>
    <w:rsid w:val="000C033A"/>
    <w:rsid w:val="000C07C9"/>
    <w:rsid w:val="000C0AF9"/>
    <w:rsid w:val="000C14AD"/>
    <w:rsid w:val="000C3602"/>
    <w:rsid w:val="000C3759"/>
    <w:rsid w:val="000C3EFD"/>
    <w:rsid w:val="000C43FF"/>
    <w:rsid w:val="000C4B94"/>
    <w:rsid w:val="000C4BE9"/>
    <w:rsid w:val="000C4E7E"/>
    <w:rsid w:val="000C584B"/>
    <w:rsid w:val="000C613C"/>
    <w:rsid w:val="000C6D85"/>
    <w:rsid w:val="000C749D"/>
    <w:rsid w:val="000C7769"/>
    <w:rsid w:val="000D0FC2"/>
    <w:rsid w:val="000D1AA2"/>
    <w:rsid w:val="000D1FF6"/>
    <w:rsid w:val="000D2835"/>
    <w:rsid w:val="000D2BAD"/>
    <w:rsid w:val="000D3551"/>
    <w:rsid w:val="000D464F"/>
    <w:rsid w:val="000D48A6"/>
    <w:rsid w:val="000D75A1"/>
    <w:rsid w:val="000E01F1"/>
    <w:rsid w:val="000E08A4"/>
    <w:rsid w:val="000E2F41"/>
    <w:rsid w:val="000E327E"/>
    <w:rsid w:val="000E3618"/>
    <w:rsid w:val="000E3E61"/>
    <w:rsid w:val="000E403A"/>
    <w:rsid w:val="000E4900"/>
    <w:rsid w:val="000E4D3D"/>
    <w:rsid w:val="000E4E0B"/>
    <w:rsid w:val="000E5A9A"/>
    <w:rsid w:val="000E5CDF"/>
    <w:rsid w:val="000E5E91"/>
    <w:rsid w:val="000E61F8"/>
    <w:rsid w:val="000E6FB7"/>
    <w:rsid w:val="000E773B"/>
    <w:rsid w:val="000E79D1"/>
    <w:rsid w:val="000F0184"/>
    <w:rsid w:val="000F0C8D"/>
    <w:rsid w:val="000F1A92"/>
    <w:rsid w:val="000F26DA"/>
    <w:rsid w:val="000F2E17"/>
    <w:rsid w:val="000F4305"/>
    <w:rsid w:val="000F44D2"/>
    <w:rsid w:val="000F4BB0"/>
    <w:rsid w:val="000F53F0"/>
    <w:rsid w:val="000F5564"/>
    <w:rsid w:val="000F5D1D"/>
    <w:rsid w:val="000F5D4A"/>
    <w:rsid w:val="000F7E74"/>
    <w:rsid w:val="0010057B"/>
    <w:rsid w:val="001011D8"/>
    <w:rsid w:val="00102A2A"/>
    <w:rsid w:val="001037AA"/>
    <w:rsid w:val="0010613C"/>
    <w:rsid w:val="00106B3B"/>
    <w:rsid w:val="00106DD0"/>
    <w:rsid w:val="00107133"/>
    <w:rsid w:val="001073DC"/>
    <w:rsid w:val="00107807"/>
    <w:rsid w:val="00107CC2"/>
    <w:rsid w:val="0011051B"/>
    <w:rsid w:val="00111C73"/>
    <w:rsid w:val="00112E04"/>
    <w:rsid w:val="00113868"/>
    <w:rsid w:val="00113C56"/>
    <w:rsid w:val="00114535"/>
    <w:rsid w:val="00114585"/>
    <w:rsid w:val="001148D6"/>
    <w:rsid w:val="00114C80"/>
    <w:rsid w:val="00116B2E"/>
    <w:rsid w:val="00116F56"/>
    <w:rsid w:val="001177F5"/>
    <w:rsid w:val="001200AF"/>
    <w:rsid w:val="00120235"/>
    <w:rsid w:val="00120E0A"/>
    <w:rsid w:val="00121026"/>
    <w:rsid w:val="00121AB8"/>
    <w:rsid w:val="00121B4F"/>
    <w:rsid w:val="00121E4C"/>
    <w:rsid w:val="0012254F"/>
    <w:rsid w:val="00122649"/>
    <w:rsid w:val="001229E4"/>
    <w:rsid w:val="00122B36"/>
    <w:rsid w:val="001234D8"/>
    <w:rsid w:val="00123D65"/>
    <w:rsid w:val="00125FF2"/>
    <w:rsid w:val="0012605A"/>
    <w:rsid w:val="00126E36"/>
    <w:rsid w:val="001278EA"/>
    <w:rsid w:val="00127B8D"/>
    <w:rsid w:val="001319C0"/>
    <w:rsid w:val="00131B4B"/>
    <w:rsid w:val="001340B7"/>
    <w:rsid w:val="00134909"/>
    <w:rsid w:val="00134935"/>
    <w:rsid w:val="00135051"/>
    <w:rsid w:val="001355CF"/>
    <w:rsid w:val="00135B5E"/>
    <w:rsid w:val="00136105"/>
    <w:rsid w:val="00136CC3"/>
    <w:rsid w:val="00137289"/>
    <w:rsid w:val="001375D0"/>
    <w:rsid w:val="001375F2"/>
    <w:rsid w:val="001376D1"/>
    <w:rsid w:val="00137B49"/>
    <w:rsid w:val="001402AB"/>
    <w:rsid w:val="00141172"/>
    <w:rsid w:val="00141515"/>
    <w:rsid w:val="0014242B"/>
    <w:rsid w:val="001439E1"/>
    <w:rsid w:val="00143BFF"/>
    <w:rsid w:val="00144834"/>
    <w:rsid w:val="00144851"/>
    <w:rsid w:val="00144C7D"/>
    <w:rsid w:val="00145973"/>
    <w:rsid w:val="00145F18"/>
    <w:rsid w:val="00146128"/>
    <w:rsid w:val="00146326"/>
    <w:rsid w:val="0014646B"/>
    <w:rsid w:val="00146925"/>
    <w:rsid w:val="001476CC"/>
    <w:rsid w:val="00147DB5"/>
    <w:rsid w:val="0015012B"/>
    <w:rsid w:val="00150E7E"/>
    <w:rsid w:val="00151346"/>
    <w:rsid w:val="0015185D"/>
    <w:rsid w:val="001522E4"/>
    <w:rsid w:val="001527BC"/>
    <w:rsid w:val="00152C2A"/>
    <w:rsid w:val="00153243"/>
    <w:rsid w:val="0015376A"/>
    <w:rsid w:val="00153770"/>
    <w:rsid w:val="001537D3"/>
    <w:rsid w:val="00153AF8"/>
    <w:rsid w:val="00153B0B"/>
    <w:rsid w:val="00154725"/>
    <w:rsid w:val="001550DF"/>
    <w:rsid w:val="00155A48"/>
    <w:rsid w:val="001563B3"/>
    <w:rsid w:val="001570E8"/>
    <w:rsid w:val="001572C8"/>
    <w:rsid w:val="00157EFD"/>
    <w:rsid w:val="0016090C"/>
    <w:rsid w:val="001614AF"/>
    <w:rsid w:val="0016165D"/>
    <w:rsid w:val="00162B4D"/>
    <w:rsid w:val="001631C2"/>
    <w:rsid w:val="00165B2A"/>
    <w:rsid w:val="00165F9E"/>
    <w:rsid w:val="0016619F"/>
    <w:rsid w:val="00173297"/>
    <w:rsid w:val="00174182"/>
    <w:rsid w:val="0017481B"/>
    <w:rsid w:val="00174E46"/>
    <w:rsid w:val="00175B1B"/>
    <w:rsid w:val="0017629B"/>
    <w:rsid w:val="00176449"/>
    <w:rsid w:val="00176D95"/>
    <w:rsid w:val="001800A4"/>
    <w:rsid w:val="00180AEF"/>
    <w:rsid w:val="00180BA9"/>
    <w:rsid w:val="00180F8B"/>
    <w:rsid w:val="00181A02"/>
    <w:rsid w:val="001824EA"/>
    <w:rsid w:val="00182F94"/>
    <w:rsid w:val="00183568"/>
    <w:rsid w:val="00183B4E"/>
    <w:rsid w:val="00183FA5"/>
    <w:rsid w:val="00184EDF"/>
    <w:rsid w:val="0018624F"/>
    <w:rsid w:val="001867CA"/>
    <w:rsid w:val="00186A65"/>
    <w:rsid w:val="00186CC6"/>
    <w:rsid w:val="001871ED"/>
    <w:rsid w:val="00187FBD"/>
    <w:rsid w:val="001900BC"/>
    <w:rsid w:val="001910F8"/>
    <w:rsid w:val="00191ED0"/>
    <w:rsid w:val="0019211C"/>
    <w:rsid w:val="0019221A"/>
    <w:rsid w:val="00192FA3"/>
    <w:rsid w:val="0019321C"/>
    <w:rsid w:val="00193742"/>
    <w:rsid w:val="001941C8"/>
    <w:rsid w:val="001942E8"/>
    <w:rsid w:val="00194C18"/>
    <w:rsid w:val="0019516C"/>
    <w:rsid w:val="001951EC"/>
    <w:rsid w:val="00195895"/>
    <w:rsid w:val="00195B4F"/>
    <w:rsid w:val="001963F7"/>
    <w:rsid w:val="00196F36"/>
    <w:rsid w:val="001A030B"/>
    <w:rsid w:val="001A060C"/>
    <w:rsid w:val="001A146D"/>
    <w:rsid w:val="001A1A2E"/>
    <w:rsid w:val="001A1D98"/>
    <w:rsid w:val="001A3492"/>
    <w:rsid w:val="001A3EB7"/>
    <w:rsid w:val="001A489B"/>
    <w:rsid w:val="001A6077"/>
    <w:rsid w:val="001A6C13"/>
    <w:rsid w:val="001A6CBD"/>
    <w:rsid w:val="001B1BC3"/>
    <w:rsid w:val="001B1FE2"/>
    <w:rsid w:val="001B212D"/>
    <w:rsid w:val="001B30E0"/>
    <w:rsid w:val="001B32EF"/>
    <w:rsid w:val="001B3A11"/>
    <w:rsid w:val="001B3CBE"/>
    <w:rsid w:val="001B4818"/>
    <w:rsid w:val="001B5030"/>
    <w:rsid w:val="001B61CB"/>
    <w:rsid w:val="001B796B"/>
    <w:rsid w:val="001C0B75"/>
    <w:rsid w:val="001C0D52"/>
    <w:rsid w:val="001C1B2A"/>
    <w:rsid w:val="001C2377"/>
    <w:rsid w:val="001C2989"/>
    <w:rsid w:val="001C3BF2"/>
    <w:rsid w:val="001C46A4"/>
    <w:rsid w:val="001C51BE"/>
    <w:rsid w:val="001C55F1"/>
    <w:rsid w:val="001C5C02"/>
    <w:rsid w:val="001C62AE"/>
    <w:rsid w:val="001C63AB"/>
    <w:rsid w:val="001C7D97"/>
    <w:rsid w:val="001D08A7"/>
    <w:rsid w:val="001D110D"/>
    <w:rsid w:val="001D114B"/>
    <w:rsid w:val="001D124C"/>
    <w:rsid w:val="001D166E"/>
    <w:rsid w:val="001D1BBD"/>
    <w:rsid w:val="001D274A"/>
    <w:rsid w:val="001D2BAA"/>
    <w:rsid w:val="001D307F"/>
    <w:rsid w:val="001D323E"/>
    <w:rsid w:val="001D3997"/>
    <w:rsid w:val="001D55D3"/>
    <w:rsid w:val="001D7421"/>
    <w:rsid w:val="001E065B"/>
    <w:rsid w:val="001E0B5E"/>
    <w:rsid w:val="001E1C91"/>
    <w:rsid w:val="001E242C"/>
    <w:rsid w:val="001E2D36"/>
    <w:rsid w:val="001E2DD4"/>
    <w:rsid w:val="001E44B1"/>
    <w:rsid w:val="001E4545"/>
    <w:rsid w:val="001E5AD4"/>
    <w:rsid w:val="001E5C13"/>
    <w:rsid w:val="001F00BA"/>
    <w:rsid w:val="001F109F"/>
    <w:rsid w:val="001F232C"/>
    <w:rsid w:val="001F2392"/>
    <w:rsid w:val="001F3542"/>
    <w:rsid w:val="001F4073"/>
    <w:rsid w:val="001F4FBB"/>
    <w:rsid w:val="001F5AA5"/>
    <w:rsid w:val="001F6403"/>
    <w:rsid w:val="001F6853"/>
    <w:rsid w:val="001F6BD1"/>
    <w:rsid w:val="001F7042"/>
    <w:rsid w:val="001F74B9"/>
    <w:rsid w:val="001F77BF"/>
    <w:rsid w:val="0020029E"/>
    <w:rsid w:val="002002E6"/>
    <w:rsid w:val="00201519"/>
    <w:rsid w:val="00203DE7"/>
    <w:rsid w:val="00203EFD"/>
    <w:rsid w:val="002045EA"/>
    <w:rsid w:val="00204C4B"/>
    <w:rsid w:val="002057E1"/>
    <w:rsid w:val="002074F2"/>
    <w:rsid w:val="00207F7E"/>
    <w:rsid w:val="002110D4"/>
    <w:rsid w:val="00211885"/>
    <w:rsid w:val="002121F8"/>
    <w:rsid w:val="0021233A"/>
    <w:rsid w:val="002133C0"/>
    <w:rsid w:val="00213E44"/>
    <w:rsid w:val="002144DB"/>
    <w:rsid w:val="002157EA"/>
    <w:rsid w:val="00215EA5"/>
    <w:rsid w:val="00217453"/>
    <w:rsid w:val="002177AA"/>
    <w:rsid w:val="00217D4B"/>
    <w:rsid w:val="002205F5"/>
    <w:rsid w:val="00220E63"/>
    <w:rsid w:val="00221970"/>
    <w:rsid w:val="00221B52"/>
    <w:rsid w:val="00221EA3"/>
    <w:rsid w:val="0022284D"/>
    <w:rsid w:val="00222868"/>
    <w:rsid w:val="00222FE5"/>
    <w:rsid w:val="00224169"/>
    <w:rsid w:val="00224B27"/>
    <w:rsid w:val="00224B45"/>
    <w:rsid w:val="00224DAC"/>
    <w:rsid w:val="00224FB3"/>
    <w:rsid w:val="00225202"/>
    <w:rsid w:val="00226854"/>
    <w:rsid w:val="00226EC3"/>
    <w:rsid w:val="00234CCC"/>
    <w:rsid w:val="00235689"/>
    <w:rsid w:val="00235AAD"/>
    <w:rsid w:val="0023630B"/>
    <w:rsid w:val="0023691F"/>
    <w:rsid w:val="0024035E"/>
    <w:rsid w:val="00240D39"/>
    <w:rsid w:val="00242233"/>
    <w:rsid w:val="002428F8"/>
    <w:rsid w:val="002444DE"/>
    <w:rsid w:val="00244776"/>
    <w:rsid w:val="002457DD"/>
    <w:rsid w:val="00250683"/>
    <w:rsid w:val="002512DB"/>
    <w:rsid w:val="00253A69"/>
    <w:rsid w:val="002547AA"/>
    <w:rsid w:val="00254F2B"/>
    <w:rsid w:val="0025522A"/>
    <w:rsid w:val="00256587"/>
    <w:rsid w:val="002566A6"/>
    <w:rsid w:val="0025673A"/>
    <w:rsid w:val="00256DD0"/>
    <w:rsid w:val="00257C2A"/>
    <w:rsid w:val="0026008E"/>
    <w:rsid w:val="00260310"/>
    <w:rsid w:val="002607E6"/>
    <w:rsid w:val="00261100"/>
    <w:rsid w:val="0026120D"/>
    <w:rsid w:val="002612B6"/>
    <w:rsid w:val="00261926"/>
    <w:rsid w:val="0026195E"/>
    <w:rsid w:val="002624CA"/>
    <w:rsid w:val="002626DF"/>
    <w:rsid w:val="00262F14"/>
    <w:rsid w:val="00263AD2"/>
    <w:rsid w:val="00264C4B"/>
    <w:rsid w:val="0026676D"/>
    <w:rsid w:val="00267FBE"/>
    <w:rsid w:val="002712F5"/>
    <w:rsid w:val="00272D90"/>
    <w:rsid w:val="0027539C"/>
    <w:rsid w:val="0027761E"/>
    <w:rsid w:val="002812DE"/>
    <w:rsid w:val="00281405"/>
    <w:rsid w:val="00281AE1"/>
    <w:rsid w:val="00281FAA"/>
    <w:rsid w:val="00282067"/>
    <w:rsid w:val="002820E4"/>
    <w:rsid w:val="00282DE8"/>
    <w:rsid w:val="00283D0A"/>
    <w:rsid w:val="00284F94"/>
    <w:rsid w:val="0028528F"/>
    <w:rsid w:val="00286503"/>
    <w:rsid w:val="00286511"/>
    <w:rsid w:val="00287088"/>
    <w:rsid w:val="00287CE9"/>
    <w:rsid w:val="0029030D"/>
    <w:rsid w:val="002910B9"/>
    <w:rsid w:val="002917CE"/>
    <w:rsid w:val="002939C1"/>
    <w:rsid w:val="00293A99"/>
    <w:rsid w:val="00294363"/>
    <w:rsid w:val="00295158"/>
    <w:rsid w:val="00295E52"/>
    <w:rsid w:val="00296C1F"/>
    <w:rsid w:val="00296E7F"/>
    <w:rsid w:val="002978A8"/>
    <w:rsid w:val="002A0C45"/>
    <w:rsid w:val="002A2B20"/>
    <w:rsid w:val="002A332A"/>
    <w:rsid w:val="002A3A5D"/>
    <w:rsid w:val="002A4358"/>
    <w:rsid w:val="002A48B6"/>
    <w:rsid w:val="002A5BBC"/>
    <w:rsid w:val="002A7E65"/>
    <w:rsid w:val="002A7FCF"/>
    <w:rsid w:val="002B0667"/>
    <w:rsid w:val="002B1B00"/>
    <w:rsid w:val="002B244A"/>
    <w:rsid w:val="002B2CF6"/>
    <w:rsid w:val="002B3633"/>
    <w:rsid w:val="002B3889"/>
    <w:rsid w:val="002B4535"/>
    <w:rsid w:val="002B511B"/>
    <w:rsid w:val="002B6036"/>
    <w:rsid w:val="002B6B14"/>
    <w:rsid w:val="002B6B23"/>
    <w:rsid w:val="002C0B78"/>
    <w:rsid w:val="002C0C5C"/>
    <w:rsid w:val="002C0FAC"/>
    <w:rsid w:val="002C1B64"/>
    <w:rsid w:val="002C1FBD"/>
    <w:rsid w:val="002C29FF"/>
    <w:rsid w:val="002C3EF9"/>
    <w:rsid w:val="002C5459"/>
    <w:rsid w:val="002C5E7B"/>
    <w:rsid w:val="002C6119"/>
    <w:rsid w:val="002C702A"/>
    <w:rsid w:val="002C7996"/>
    <w:rsid w:val="002D101A"/>
    <w:rsid w:val="002D2B85"/>
    <w:rsid w:val="002D38FB"/>
    <w:rsid w:val="002D4D30"/>
    <w:rsid w:val="002D6850"/>
    <w:rsid w:val="002D6FB0"/>
    <w:rsid w:val="002D7546"/>
    <w:rsid w:val="002D76AE"/>
    <w:rsid w:val="002E0559"/>
    <w:rsid w:val="002E11EB"/>
    <w:rsid w:val="002E17CD"/>
    <w:rsid w:val="002E3FA2"/>
    <w:rsid w:val="002E40C7"/>
    <w:rsid w:val="002E6BB4"/>
    <w:rsid w:val="002E72C4"/>
    <w:rsid w:val="002E7B65"/>
    <w:rsid w:val="002E7C03"/>
    <w:rsid w:val="002F0628"/>
    <w:rsid w:val="002F11B0"/>
    <w:rsid w:val="002F2877"/>
    <w:rsid w:val="002F32AA"/>
    <w:rsid w:val="002F354E"/>
    <w:rsid w:val="002F36F2"/>
    <w:rsid w:val="002F37B6"/>
    <w:rsid w:val="002F3836"/>
    <w:rsid w:val="002F415D"/>
    <w:rsid w:val="002F4593"/>
    <w:rsid w:val="002F5F12"/>
    <w:rsid w:val="002F66FF"/>
    <w:rsid w:val="002F7170"/>
    <w:rsid w:val="00300E98"/>
    <w:rsid w:val="003017A0"/>
    <w:rsid w:val="0030194D"/>
    <w:rsid w:val="003028E3"/>
    <w:rsid w:val="00304068"/>
    <w:rsid w:val="003042A7"/>
    <w:rsid w:val="00304493"/>
    <w:rsid w:val="003044A3"/>
    <w:rsid w:val="00305230"/>
    <w:rsid w:val="00310549"/>
    <w:rsid w:val="00310AD8"/>
    <w:rsid w:val="00310AFD"/>
    <w:rsid w:val="00312416"/>
    <w:rsid w:val="003127EC"/>
    <w:rsid w:val="0031383B"/>
    <w:rsid w:val="00314AD6"/>
    <w:rsid w:val="00315470"/>
    <w:rsid w:val="003159AF"/>
    <w:rsid w:val="00315C0E"/>
    <w:rsid w:val="00315E33"/>
    <w:rsid w:val="003163ED"/>
    <w:rsid w:val="0031648C"/>
    <w:rsid w:val="003164DE"/>
    <w:rsid w:val="00321856"/>
    <w:rsid w:val="00321AEA"/>
    <w:rsid w:val="003222D3"/>
    <w:rsid w:val="003223FD"/>
    <w:rsid w:val="00323840"/>
    <w:rsid w:val="00323E5E"/>
    <w:rsid w:val="003252A7"/>
    <w:rsid w:val="003257A1"/>
    <w:rsid w:val="00325A68"/>
    <w:rsid w:val="00327218"/>
    <w:rsid w:val="00327861"/>
    <w:rsid w:val="00327CE0"/>
    <w:rsid w:val="00327EA0"/>
    <w:rsid w:val="00332192"/>
    <w:rsid w:val="003327A5"/>
    <w:rsid w:val="00332A5E"/>
    <w:rsid w:val="003337A9"/>
    <w:rsid w:val="00333AA7"/>
    <w:rsid w:val="003341C7"/>
    <w:rsid w:val="00335C8E"/>
    <w:rsid w:val="0033690B"/>
    <w:rsid w:val="00336EA3"/>
    <w:rsid w:val="00337D8C"/>
    <w:rsid w:val="00340F96"/>
    <w:rsid w:val="00342EB3"/>
    <w:rsid w:val="003445C9"/>
    <w:rsid w:val="003448ED"/>
    <w:rsid w:val="00346ABF"/>
    <w:rsid w:val="00347861"/>
    <w:rsid w:val="00347D3D"/>
    <w:rsid w:val="00347DDB"/>
    <w:rsid w:val="003504E4"/>
    <w:rsid w:val="003506BA"/>
    <w:rsid w:val="00350CCD"/>
    <w:rsid w:val="00351608"/>
    <w:rsid w:val="00351A7B"/>
    <w:rsid w:val="00352392"/>
    <w:rsid w:val="00352498"/>
    <w:rsid w:val="00352B6F"/>
    <w:rsid w:val="003537D2"/>
    <w:rsid w:val="00355718"/>
    <w:rsid w:val="003561F2"/>
    <w:rsid w:val="003567CE"/>
    <w:rsid w:val="003578B5"/>
    <w:rsid w:val="003579EC"/>
    <w:rsid w:val="003601D3"/>
    <w:rsid w:val="00361338"/>
    <w:rsid w:val="0036160C"/>
    <w:rsid w:val="003619B1"/>
    <w:rsid w:val="00361B1D"/>
    <w:rsid w:val="00363065"/>
    <w:rsid w:val="003635B6"/>
    <w:rsid w:val="003656E5"/>
    <w:rsid w:val="00365A4D"/>
    <w:rsid w:val="00365AA7"/>
    <w:rsid w:val="003660E3"/>
    <w:rsid w:val="0036644C"/>
    <w:rsid w:val="003664BD"/>
    <w:rsid w:val="00366CC0"/>
    <w:rsid w:val="00366FFF"/>
    <w:rsid w:val="00367221"/>
    <w:rsid w:val="0036738E"/>
    <w:rsid w:val="003677FE"/>
    <w:rsid w:val="00367F86"/>
    <w:rsid w:val="0037380D"/>
    <w:rsid w:val="003738C4"/>
    <w:rsid w:val="003755A9"/>
    <w:rsid w:val="00375BBF"/>
    <w:rsid w:val="0037640C"/>
    <w:rsid w:val="00376A5D"/>
    <w:rsid w:val="00376C46"/>
    <w:rsid w:val="003800B2"/>
    <w:rsid w:val="00380F9F"/>
    <w:rsid w:val="003832C1"/>
    <w:rsid w:val="00383997"/>
    <w:rsid w:val="00384D3E"/>
    <w:rsid w:val="003856E5"/>
    <w:rsid w:val="0038744A"/>
    <w:rsid w:val="00387A65"/>
    <w:rsid w:val="00390809"/>
    <w:rsid w:val="00390CE7"/>
    <w:rsid w:val="0039156B"/>
    <w:rsid w:val="003919B4"/>
    <w:rsid w:val="00393278"/>
    <w:rsid w:val="0039366D"/>
    <w:rsid w:val="003958EA"/>
    <w:rsid w:val="00396296"/>
    <w:rsid w:val="003A0166"/>
    <w:rsid w:val="003A1063"/>
    <w:rsid w:val="003A109A"/>
    <w:rsid w:val="003A2E95"/>
    <w:rsid w:val="003A4C95"/>
    <w:rsid w:val="003A533E"/>
    <w:rsid w:val="003A6F43"/>
    <w:rsid w:val="003B25DD"/>
    <w:rsid w:val="003B2AF2"/>
    <w:rsid w:val="003B39BF"/>
    <w:rsid w:val="003B6237"/>
    <w:rsid w:val="003B7163"/>
    <w:rsid w:val="003B7B00"/>
    <w:rsid w:val="003C01EA"/>
    <w:rsid w:val="003C0CEE"/>
    <w:rsid w:val="003C1217"/>
    <w:rsid w:val="003C1272"/>
    <w:rsid w:val="003C187A"/>
    <w:rsid w:val="003C1D35"/>
    <w:rsid w:val="003C26DA"/>
    <w:rsid w:val="003C2C2C"/>
    <w:rsid w:val="003C2F29"/>
    <w:rsid w:val="003C4686"/>
    <w:rsid w:val="003C59F2"/>
    <w:rsid w:val="003C6090"/>
    <w:rsid w:val="003C78C9"/>
    <w:rsid w:val="003D27D0"/>
    <w:rsid w:val="003D32DA"/>
    <w:rsid w:val="003D4B02"/>
    <w:rsid w:val="003D58EF"/>
    <w:rsid w:val="003D59E1"/>
    <w:rsid w:val="003D6307"/>
    <w:rsid w:val="003E030B"/>
    <w:rsid w:val="003E0686"/>
    <w:rsid w:val="003E10A4"/>
    <w:rsid w:val="003E1745"/>
    <w:rsid w:val="003E17E1"/>
    <w:rsid w:val="003E1B4D"/>
    <w:rsid w:val="003E1CF9"/>
    <w:rsid w:val="003E1FD9"/>
    <w:rsid w:val="003E2D4C"/>
    <w:rsid w:val="003E4D4E"/>
    <w:rsid w:val="003E5126"/>
    <w:rsid w:val="003E5769"/>
    <w:rsid w:val="003E5F70"/>
    <w:rsid w:val="003E5F84"/>
    <w:rsid w:val="003E6806"/>
    <w:rsid w:val="003E6976"/>
    <w:rsid w:val="003E78F1"/>
    <w:rsid w:val="003F039B"/>
    <w:rsid w:val="003F0DA1"/>
    <w:rsid w:val="003F0DB7"/>
    <w:rsid w:val="003F19B5"/>
    <w:rsid w:val="003F2BFE"/>
    <w:rsid w:val="003F35A4"/>
    <w:rsid w:val="003F43F4"/>
    <w:rsid w:val="003F5197"/>
    <w:rsid w:val="003F547B"/>
    <w:rsid w:val="003F5FF5"/>
    <w:rsid w:val="003F6952"/>
    <w:rsid w:val="003F6A79"/>
    <w:rsid w:val="003F6D0D"/>
    <w:rsid w:val="003F7B82"/>
    <w:rsid w:val="003F7E8A"/>
    <w:rsid w:val="00400331"/>
    <w:rsid w:val="00400D1C"/>
    <w:rsid w:val="004014E9"/>
    <w:rsid w:val="00402E72"/>
    <w:rsid w:val="0040314B"/>
    <w:rsid w:val="00403205"/>
    <w:rsid w:val="0040406A"/>
    <w:rsid w:val="00405271"/>
    <w:rsid w:val="004063E2"/>
    <w:rsid w:val="0040658A"/>
    <w:rsid w:val="00407D7A"/>
    <w:rsid w:val="00407E30"/>
    <w:rsid w:val="0041021A"/>
    <w:rsid w:val="004106B3"/>
    <w:rsid w:val="00410FF3"/>
    <w:rsid w:val="004112A8"/>
    <w:rsid w:val="004116F6"/>
    <w:rsid w:val="00411AB1"/>
    <w:rsid w:val="00412CBD"/>
    <w:rsid w:val="00412DE9"/>
    <w:rsid w:val="00413F44"/>
    <w:rsid w:val="004158FE"/>
    <w:rsid w:val="004161AA"/>
    <w:rsid w:val="0041671A"/>
    <w:rsid w:val="0042005B"/>
    <w:rsid w:val="0042017C"/>
    <w:rsid w:val="004201D9"/>
    <w:rsid w:val="00420F1D"/>
    <w:rsid w:val="0042142A"/>
    <w:rsid w:val="00421965"/>
    <w:rsid w:val="00422CB3"/>
    <w:rsid w:val="00422EA4"/>
    <w:rsid w:val="004233A6"/>
    <w:rsid w:val="0042356D"/>
    <w:rsid w:val="00424709"/>
    <w:rsid w:val="004249D5"/>
    <w:rsid w:val="004256BF"/>
    <w:rsid w:val="0042582C"/>
    <w:rsid w:val="0042632E"/>
    <w:rsid w:val="0042648D"/>
    <w:rsid w:val="00427020"/>
    <w:rsid w:val="00427D00"/>
    <w:rsid w:val="004301BF"/>
    <w:rsid w:val="004301CB"/>
    <w:rsid w:val="004309C9"/>
    <w:rsid w:val="00430A04"/>
    <w:rsid w:val="004314A1"/>
    <w:rsid w:val="004320A1"/>
    <w:rsid w:val="00432687"/>
    <w:rsid w:val="00432755"/>
    <w:rsid w:val="00433349"/>
    <w:rsid w:val="0043362F"/>
    <w:rsid w:val="004337BA"/>
    <w:rsid w:val="00434349"/>
    <w:rsid w:val="00434CE2"/>
    <w:rsid w:val="00434CF3"/>
    <w:rsid w:val="00435865"/>
    <w:rsid w:val="00435BE7"/>
    <w:rsid w:val="00435EC8"/>
    <w:rsid w:val="0043628A"/>
    <w:rsid w:val="004365B4"/>
    <w:rsid w:val="0043683C"/>
    <w:rsid w:val="004378F6"/>
    <w:rsid w:val="00440C85"/>
    <w:rsid w:val="00441A15"/>
    <w:rsid w:val="00441FFE"/>
    <w:rsid w:val="00442550"/>
    <w:rsid w:val="00442FFF"/>
    <w:rsid w:val="00443AD4"/>
    <w:rsid w:val="00445CCE"/>
    <w:rsid w:val="004463F6"/>
    <w:rsid w:val="00446E55"/>
    <w:rsid w:val="00447A17"/>
    <w:rsid w:val="00450B2D"/>
    <w:rsid w:val="00452951"/>
    <w:rsid w:val="00452F79"/>
    <w:rsid w:val="00452FC2"/>
    <w:rsid w:val="004539AE"/>
    <w:rsid w:val="00453DB9"/>
    <w:rsid w:val="00454E5F"/>
    <w:rsid w:val="004551B7"/>
    <w:rsid w:val="00455F9E"/>
    <w:rsid w:val="004568D5"/>
    <w:rsid w:val="004569B0"/>
    <w:rsid w:val="00457FE8"/>
    <w:rsid w:val="0046004B"/>
    <w:rsid w:val="00460955"/>
    <w:rsid w:val="004618BD"/>
    <w:rsid w:val="00461B39"/>
    <w:rsid w:val="004624F2"/>
    <w:rsid w:val="00462B95"/>
    <w:rsid w:val="0046365F"/>
    <w:rsid w:val="0046449D"/>
    <w:rsid w:val="00464CBE"/>
    <w:rsid w:val="00465F29"/>
    <w:rsid w:val="00466270"/>
    <w:rsid w:val="00466AF7"/>
    <w:rsid w:val="004672B4"/>
    <w:rsid w:val="00467BA7"/>
    <w:rsid w:val="004709BE"/>
    <w:rsid w:val="0047106F"/>
    <w:rsid w:val="004730BA"/>
    <w:rsid w:val="00473EC0"/>
    <w:rsid w:val="00474599"/>
    <w:rsid w:val="0047582F"/>
    <w:rsid w:val="00475FAE"/>
    <w:rsid w:val="004761A1"/>
    <w:rsid w:val="00477616"/>
    <w:rsid w:val="0047767C"/>
    <w:rsid w:val="0047782E"/>
    <w:rsid w:val="0048043A"/>
    <w:rsid w:val="004806B9"/>
    <w:rsid w:val="00480AF5"/>
    <w:rsid w:val="004825C1"/>
    <w:rsid w:val="00482FFD"/>
    <w:rsid w:val="004848FB"/>
    <w:rsid w:val="00485437"/>
    <w:rsid w:val="00485D08"/>
    <w:rsid w:val="00485DA8"/>
    <w:rsid w:val="004861F6"/>
    <w:rsid w:val="00487611"/>
    <w:rsid w:val="00487AE2"/>
    <w:rsid w:val="00490605"/>
    <w:rsid w:val="00492298"/>
    <w:rsid w:val="00492FF1"/>
    <w:rsid w:val="00493E36"/>
    <w:rsid w:val="004946BE"/>
    <w:rsid w:val="00494A10"/>
    <w:rsid w:val="004A0614"/>
    <w:rsid w:val="004A06D0"/>
    <w:rsid w:val="004A0E4B"/>
    <w:rsid w:val="004A12E5"/>
    <w:rsid w:val="004A1AB3"/>
    <w:rsid w:val="004A27DC"/>
    <w:rsid w:val="004A3403"/>
    <w:rsid w:val="004A4A12"/>
    <w:rsid w:val="004A4B68"/>
    <w:rsid w:val="004A61E4"/>
    <w:rsid w:val="004A6D6F"/>
    <w:rsid w:val="004A6FF5"/>
    <w:rsid w:val="004B205C"/>
    <w:rsid w:val="004B2FB9"/>
    <w:rsid w:val="004B41DB"/>
    <w:rsid w:val="004B541B"/>
    <w:rsid w:val="004B60E1"/>
    <w:rsid w:val="004B64E7"/>
    <w:rsid w:val="004B6CDB"/>
    <w:rsid w:val="004B7026"/>
    <w:rsid w:val="004C086B"/>
    <w:rsid w:val="004C16F4"/>
    <w:rsid w:val="004C1A67"/>
    <w:rsid w:val="004C2015"/>
    <w:rsid w:val="004C251B"/>
    <w:rsid w:val="004C2A27"/>
    <w:rsid w:val="004C2E49"/>
    <w:rsid w:val="004C2E58"/>
    <w:rsid w:val="004C3D0B"/>
    <w:rsid w:val="004C4177"/>
    <w:rsid w:val="004C4560"/>
    <w:rsid w:val="004C652D"/>
    <w:rsid w:val="004C664E"/>
    <w:rsid w:val="004C6C3C"/>
    <w:rsid w:val="004C6CBA"/>
    <w:rsid w:val="004C752E"/>
    <w:rsid w:val="004C7973"/>
    <w:rsid w:val="004D02EE"/>
    <w:rsid w:val="004D0B5C"/>
    <w:rsid w:val="004D213B"/>
    <w:rsid w:val="004D2229"/>
    <w:rsid w:val="004D223A"/>
    <w:rsid w:val="004D284E"/>
    <w:rsid w:val="004D4E68"/>
    <w:rsid w:val="004D5741"/>
    <w:rsid w:val="004D6290"/>
    <w:rsid w:val="004D649E"/>
    <w:rsid w:val="004E0014"/>
    <w:rsid w:val="004E0918"/>
    <w:rsid w:val="004E09B6"/>
    <w:rsid w:val="004E0AE0"/>
    <w:rsid w:val="004E246E"/>
    <w:rsid w:val="004E2DD1"/>
    <w:rsid w:val="004E3D5F"/>
    <w:rsid w:val="004E4066"/>
    <w:rsid w:val="004E44DA"/>
    <w:rsid w:val="004E4A50"/>
    <w:rsid w:val="004E4A7E"/>
    <w:rsid w:val="004E577C"/>
    <w:rsid w:val="004E697D"/>
    <w:rsid w:val="004F06E8"/>
    <w:rsid w:val="004F23F9"/>
    <w:rsid w:val="004F2993"/>
    <w:rsid w:val="004F2C8B"/>
    <w:rsid w:val="004F39CD"/>
    <w:rsid w:val="004F588E"/>
    <w:rsid w:val="004F6703"/>
    <w:rsid w:val="004F69FE"/>
    <w:rsid w:val="004F7701"/>
    <w:rsid w:val="004F7B91"/>
    <w:rsid w:val="004F7F4B"/>
    <w:rsid w:val="00500AAA"/>
    <w:rsid w:val="00501FB7"/>
    <w:rsid w:val="005021DE"/>
    <w:rsid w:val="00502CC4"/>
    <w:rsid w:val="005034B1"/>
    <w:rsid w:val="0050350F"/>
    <w:rsid w:val="00503910"/>
    <w:rsid w:val="0050418B"/>
    <w:rsid w:val="0050755E"/>
    <w:rsid w:val="00507A03"/>
    <w:rsid w:val="00507BFD"/>
    <w:rsid w:val="00510BA0"/>
    <w:rsid w:val="005110BF"/>
    <w:rsid w:val="00511B83"/>
    <w:rsid w:val="0051201C"/>
    <w:rsid w:val="0051243B"/>
    <w:rsid w:val="00512B9B"/>
    <w:rsid w:val="00515057"/>
    <w:rsid w:val="00516B71"/>
    <w:rsid w:val="00517500"/>
    <w:rsid w:val="005220B0"/>
    <w:rsid w:val="005225D1"/>
    <w:rsid w:val="005234FA"/>
    <w:rsid w:val="005252F3"/>
    <w:rsid w:val="0052564E"/>
    <w:rsid w:val="0052613F"/>
    <w:rsid w:val="005273CF"/>
    <w:rsid w:val="00527BC8"/>
    <w:rsid w:val="00531A2C"/>
    <w:rsid w:val="00531F55"/>
    <w:rsid w:val="00532970"/>
    <w:rsid w:val="00533666"/>
    <w:rsid w:val="00534228"/>
    <w:rsid w:val="005360F8"/>
    <w:rsid w:val="005369A9"/>
    <w:rsid w:val="00536AF2"/>
    <w:rsid w:val="005377C1"/>
    <w:rsid w:val="00540E2A"/>
    <w:rsid w:val="00540F1B"/>
    <w:rsid w:val="00540F60"/>
    <w:rsid w:val="00540FDC"/>
    <w:rsid w:val="00542833"/>
    <w:rsid w:val="005430DA"/>
    <w:rsid w:val="00544EEE"/>
    <w:rsid w:val="00550268"/>
    <w:rsid w:val="005508DA"/>
    <w:rsid w:val="00550A7A"/>
    <w:rsid w:val="005512CE"/>
    <w:rsid w:val="00551912"/>
    <w:rsid w:val="00551CE1"/>
    <w:rsid w:val="00551F52"/>
    <w:rsid w:val="00552098"/>
    <w:rsid w:val="00552A2B"/>
    <w:rsid w:val="00552FD2"/>
    <w:rsid w:val="00553D73"/>
    <w:rsid w:val="00554431"/>
    <w:rsid w:val="00554881"/>
    <w:rsid w:val="00556025"/>
    <w:rsid w:val="005566BF"/>
    <w:rsid w:val="0055699F"/>
    <w:rsid w:val="00556A94"/>
    <w:rsid w:val="00556CC2"/>
    <w:rsid w:val="005574E8"/>
    <w:rsid w:val="00557888"/>
    <w:rsid w:val="00560C47"/>
    <w:rsid w:val="00562D99"/>
    <w:rsid w:val="0056448F"/>
    <w:rsid w:val="005649E1"/>
    <w:rsid w:val="0056612E"/>
    <w:rsid w:val="00566343"/>
    <w:rsid w:val="00566B5F"/>
    <w:rsid w:val="00567190"/>
    <w:rsid w:val="00572C5B"/>
    <w:rsid w:val="005731AD"/>
    <w:rsid w:val="00573BF9"/>
    <w:rsid w:val="00574475"/>
    <w:rsid w:val="00574712"/>
    <w:rsid w:val="005761CB"/>
    <w:rsid w:val="005764C0"/>
    <w:rsid w:val="005764EA"/>
    <w:rsid w:val="00576728"/>
    <w:rsid w:val="00576D47"/>
    <w:rsid w:val="00577657"/>
    <w:rsid w:val="00577C42"/>
    <w:rsid w:val="00577CA0"/>
    <w:rsid w:val="0058057F"/>
    <w:rsid w:val="0058111F"/>
    <w:rsid w:val="00581B16"/>
    <w:rsid w:val="005826AA"/>
    <w:rsid w:val="005833C3"/>
    <w:rsid w:val="0058343E"/>
    <w:rsid w:val="00583FF4"/>
    <w:rsid w:val="0058434A"/>
    <w:rsid w:val="00584461"/>
    <w:rsid w:val="005849B3"/>
    <w:rsid w:val="00585266"/>
    <w:rsid w:val="005852E6"/>
    <w:rsid w:val="0058614D"/>
    <w:rsid w:val="00586376"/>
    <w:rsid w:val="005906D2"/>
    <w:rsid w:val="0059273B"/>
    <w:rsid w:val="00592CE6"/>
    <w:rsid w:val="00592FDA"/>
    <w:rsid w:val="00594626"/>
    <w:rsid w:val="005947AC"/>
    <w:rsid w:val="00594B7A"/>
    <w:rsid w:val="00594D04"/>
    <w:rsid w:val="00594F53"/>
    <w:rsid w:val="0059508B"/>
    <w:rsid w:val="005964F6"/>
    <w:rsid w:val="00596F24"/>
    <w:rsid w:val="005975D6"/>
    <w:rsid w:val="005A005C"/>
    <w:rsid w:val="005A096E"/>
    <w:rsid w:val="005A0A7E"/>
    <w:rsid w:val="005A0BA8"/>
    <w:rsid w:val="005A0D8D"/>
    <w:rsid w:val="005A2927"/>
    <w:rsid w:val="005A2BAC"/>
    <w:rsid w:val="005A34E2"/>
    <w:rsid w:val="005A4654"/>
    <w:rsid w:val="005A46CB"/>
    <w:rsid w:val="005A4FD1"/>
    <w:rsid w:val="005A5462"/>
    <w:rsid w:val="005A55DC"/>
    <w:rsid w:val="005A5AC6"/>
    <w:rsid w:val="005A5B33"/>
    <w:rsid w:val="005B15B6"/>
    <w:rsid w:val="005B2B59"/>
    <w:rsid w:val="005B663E"/>
    <w:rsid w:val="005B6806"/>
    <w:rsid w:val="005B7C4C"/>
    <w:rsid w:val="005B7DB3"/>
    <w:rsid w:val="005C04A5"/>
    <w:rsid w:val="005C0922"/>
    <w:rsid w:val="005C0FEC"/>
    <w:rsid w:val="005C135B"/>
    <w:rsid w:val="005C1FF7"/>
    <w:rsid w:val="005C3771"/>
    <w:rsid w:val="005C48EA"/>
    <w:rsid w:val="005C4CB8"/>
    <w:rsid w:val="005C517B"/>
    <w:rsid w:val="005C676C"/>
    <w:rsid w:val="005C7716"/>
    <w:rsid w:val="005D0FF5"/>
    <w:rsid w:val="005D246B"/>
    <w:rsid w:val="005D2D73"/>
    <w:rsid w:val="005D3DFE"/>
    <w:rsid w:val="005D42C0"/>
    <w:rsid w:val="005D4779"/>
    <w:rsid w:val="005D4ED9"/>
    <w:rsid w:val="005D5029"/>
    <w:rsid w:val="005D53D7"/>
    <w:rsid w:val="005D5F3E"/>
    <w:rsid w:val="005D76B5"/>
    <w:rsid w:val="005D77F5"/>
    <w:rsid w:val="005E09B1"/>
    <w:rsid w:val="005E15C5"/>
    <w:rsid w:val="005E1A56"/>
    <w:rsid w:val="005E1D3D"/>
    <w:rsid w:val="005E2274"/>
    <w:rsid w:val="005E2698"/>
    <w:rsid w:val="005E2708"/>
    <w:rsid w:val="005E2B76"/>
    <w:rsid w:val="005E2BD3"/>
    <w:rsid w:val="005E2E53"/>
    <w:rsid w:val="005E3C36"/>
    <w:rsid w:val="005E43A5"/>
    <w:rsid w:val="005E59FA"/>
    <w:rsid w:val="005E5A48"/>
    <w:rsid w:val="005E61CA"/>
    <w:rsid w:val="005E6741"/>
    <w:rsid w:val="005E6AD4"/>
    <w:rsid w:val="005E7F2C"/>
    <w:rsid w:val="005F03F2"/>
    <w:rsid w:val="005F35C7"/>
    <w:rsid w:val="005F52E6"/>
    <w:rsid w:val="005F5444"/>
    <w:rsid w:val="005F55A1"/>
    <w:rsid w:val="005F5BD7"/>
    <w:rsid w:val="005F619A"/>
    <w:rsid w:val="005F69D7"/>
    <w:rsid w:val="005F7955"/>
    <w:rsid w:val="006007A9"/>
    <w:rsid w:val="006009FD"/>
    <w:rsid w:val="00601B85"/>
    <w:rsid w:val="00602E52"/>
    <w:rsid w:val="006032A3"/>
    <w:rsid w:val="00603D74"/>
    <w:rsid w:val="00604264"/>
    <w:rsid w:val="00604474"/>
    <w:rsid w:val="00605412"/>
    <w:rsid w:val="00605680"/>
    <w:rsid w:val="006065F1"/>
    <w:rsid w:val="00606AA8"/>
    <w:rsid w:val="006071B7"/>
    <w:rsid w:val="006076E6"/>
    <w:rsid w:val="00607D9F"/>
    <w:rsid w:val="00610417"/>
    <w:rsid w:val="00612185"/>
    <w:rsid w:val="00613666"/>
    <w:rsid w:val="00613C40"/>
    <w:rsid w:val="00613EB8"/>
    <w:rsid w:val="00614D9C"/>
    <w:rsid w:val="006174AD"/>
    <w:rsid w:val="0061757D"/>
    <w:rsid w:val="006178EF"/>
    <w:rsid w:val="0062243E"/>
    <w:rsid w:val="00623847"/>
    <w:rsid w:val="006243C0"/>
    <w:rsid w:val="00626940"/>
    <w:rsid w:val="00627287"/>
    <w:rsid w:val="00627319"/>
    <w:rsid w:val="0062738B"/>
    <w:rsid w:val="00631D0A"/>
    <w:rsid w:val="006326E1"/>
    <w:rsid w:val="006336C4"/>
    <w:rsid w:val="0063416F"/>
    <w:rsid w:val="00635CB0"/>
    <w:rsid w:val="0063695E"/>
    <w:rsid w:val="00636DAE"/>
    <w:rsid w:val="00636ECA"/>
    <w:rsid w:val="00637957"/>
    <w:rsid w:val="0064005E"/>
    <w:rsid w:val="00640ADC"/>
    <w:rsid w:val="00641244"/>
    <w:rsid w:val="00641F20"/>
    <w:rsid w:val="0064233F"/>
    <w:rsid w:val="00642686"/>
    <w:rsid w:val="0064298A"/>
    <w:rsid w:val="00643195"/>
    <w:rsid w:val="00643A17"/>
    <w:rsid w:val="006446AF"/>
    <w:rsid w:val="00646152"/>
    <w:rsid w:val="00646829"/>
    <w:rsid w:val="00646E6C"/>
    <w:rsid w:val="00647E89"/>
    <w:rsid w:val="006501DA"/>
    <w:rsid w:val="006508AA"/>
    <w:rsid w:val="00651CF0"/>
    <w:rsid w:val="0065209C"/>
    <w:rsid w:val="00654772"/>
    <w:rsid w:val="00654914"/>
    <w:rsid w:val="0065554C"/>
    <w:rsid w:val="006555AF"/>
    <w:rsid w:val="00657225"/>
    <w:rsid w:val="00657694"/>
    <w:rsid w:val="00657EB3"/>
    <w:rsid w:val="0066008B"/>
    <w:rsid w:val="006600F9"/>
    <w:rsid w:val="00660623"/>
    <w:rsid w:val="0066099F"/>
    <w:rsid w:val="00660A22"/>
    <w:rsid w:val="006611E2"/>
    <w:rsid w:val="00662551"/>
    <w:rsid w:val="00662722"/>
    <w:rsid w:val="006638B9"/>
    <w:rsid w:val="00664E60"/>
    <w:rsid w:val="0066512A"/>
    <w:rsid w:val="006651B7"/>
    <w:rsid w:val="00665C73"/>
    <w:rsid w:val="00666CBA"/>
    <w:rsid w:val="0067027C"/>
    <w:rsid w:val="00671099"/>
    <w:rsid w:val="00671DC7"/>
    <w:rsid w:val="006739F9"/>
    <w:rsid w:val="00673E5C"/>
    <w:rsid w:val="00674052"/>
    <w:rsid w:val="00674C98"/>
    <w:rsid w:val="00680750"/>
    <w:rsid w:val="00680A0C"/>
    <w:rsid w:val="00680B8E"/>
    <w:rsid w:val="00680D64"/>
    <w:rsid w:val="006815D0"/>
    <w:rsid w:val="00681C34"/>
    <w:rsid w:val="00682AEE"/>
    <w:rsid w:val="006830AC"/>
    <w:rsid w:val="0068334C"/>
    <w:rsid w:val="00683A9C"/>
    <w:rsid w:val="00686615"/>
    <w:rsid w:val="0068743C"/>
    <w:rsid w:val="006902DC"/>
    <w:rsid w:val="00690B12"/>
    <w:rsid w:val="00690CFD"/>
    <w:rsid w:val="00690FD5"/>
    <w:rsid w:val="00691508"/>
    <w:rsid w:val="00691566"/>
    <w:rsid w:val="0069191E"/>
    <w:rsid w:val="00691FD5"/>
    <w:rsid w:val="00692FA7"/>
    <w:rsid w:val="00693554"/>
    <w:rsid w:val="00693A5E"/>
    <w:rsid w:val="006943C9"/>
    <w:rsid w:val="00694A81"/>
    <w:rsid w:val="00695DF3"/>
    <w:rsid w:val="006968A0"/>
    <w:rsid w:val="00697C6D"/>
    <w:rsid w:val="006A01A4"/>
    <w:rsid w:val="006A1F3B"/>
    <w:rsid w:val="006A2E8A"/>
    <w:rsid w:val="006A32EC"/>
    <w:rsid w:val="006A3590"/>
    <w:rsid w:val="006A36DC"/>
    <w:rsid w:val="006A3FF0"/>
    <w:rsid w:val="006A409F"/>
    <w:rsid w:val="006A4215"/>
    <w:rsid w:val="006A551B"/>
    <w:rsid w:val="006A64E6"/>
    <w:rsid w:val="006A6BFF"/>
    <w:rsid w:val="006A72E2"/>
    <w:rsid w:val="006A7CB7"/>
    <w:rsid w:val="006B00C4"/>
    <w:rsid w:val="006B2263"/>
    <w:rsid w:val="006B2BF8"/>
    <w:rsid w:val="006B438A"/>
    <w:rsid w:val="006B4669"/>
    <w:rsid w:val="006B5331"/>
    <w:rsid w:val="006B55FA"/>
    <w:rsid w:val="006B628C"/>
    <w:rsid w:val="006B7A36"/>
    <w:rsid w:val="006C1A16"/>
    <w:rsid w:val="006C1B18"/>
    <w:rsid w:val="006C1CC5"/>
    <w:rsid w:val="006C327A"/>
    <w:rsid w:val="006C42E1"/>
    <w:rsid w:val="006C5612"/>
    <w:rsid w:val="006C6714"/>
    <w:rsid w:val="006C6941"/>
    <w:rsid w:val="006C6BF3"/>
    <w:rsid w:val="006C7369"/>
    <w:rsid w:val="006D0CC9"/>
    <w:rsid w:val="006D15E4"/>
    <w:rsid w:val="006D178C"/>
    <w:rsid w:val="006D1CA9"/>
    <w:rsid w:val="006D1E41"/>
    <w:rsid w:val="006D22A8"/>
    <w:rsid w:val="006D2DA8"/>
    <w:rsid w:val="006D34D3"/>
    <w:rsid w:val="006D3637"/>
    <w:rsid w:val="006D3856"/>
    <w:rsid w:val="006D444A"/>
    <w:rsid w:val="006D45D9"/>
    <w:rsid w:val="006D48F4"/>
    <w:rsid w:val="006D4961"/>
    <w:rsid w:val="006D5C46"/>
    <w:rsid w:val="006D675C"/>
    <w:rsid w:val="006D71D5"/>
    <w:rsid w:val="006D729D"/>
    <w:rsid w:val="006D73CB"/>
    <w:rsid w:val="006E189F"/>
    <w:rsid w:val="006E1D74"/>
    <w:rsid w:val="006E29B5"/>
    <w:rsid w:val="006E4FEB"/>
    <w:rsid w:val="006E5FD4"/>
    <w:rsid w:val="006E70F0"/>
    <w:rsid w:val="006F0221"/>
    <w:rsid w:val="006F06F6"/>
    <w:rsid w:val="006F0758"/>
    <w:rsid w:val="006F0A4A"/>
    <w:rsid w:val="006F1375"/>
    <w:rsid w:val="006F21AB"/>
    <w:rsid w:val="006F22D6"/>
    <w:rsid w:val="006F2C72"/>
    <w:rsid w:val="006F2CDF"/>
    <w:rsid w:val="006F2D1C"/>
    <w:rsid w:val="006F3685"/>
    <w:rsid w:val="006F3A51"/>
    <w:rsid w:val="006F41A7"/>
    <w:rsid w:val="006F4BB5"/>
    <w:rsid w:val="006F528E"/>
    <w:rsid w:val="006F531C"/>
    <w:rsid w:val="006F5CC4"/>
    <w:rsid w:val="006F7E23"/>
    <w:rsid w:val="00701BDE"/>
    <w:rsid w:val="00701F14"/>
    <w:rsid w:val="00702259"/>
    <w:rsid w:val="00702C98"/>
    <w:rsid w:val="00702CE1"/>
    <w:rsid w:val="00702DB2"/>
    <w:rsid w:val="00703F00"/>
    <w:rsid w:val="0070425D"/>
    <w:rsid w:val="00704704"/>
    <w:rsid w:val="00705B19"/>
    <w:rsid w:val="007064C1"/>
    <w:rsid w:val="00706ACC"/>
    <w:rsid w:val="00707416"/>
    <w:rsid w:val="00707B6A"/>
    <w:rsid w:val="007107BB"/>
    <w:rsid w:val="00710E5A"/>
    <w:rsid w:val="0071112A"/>
    <w:rsid w:val="00711949"/>
    <w:rsid w:val="007138D2"/>
    <w:rsid w:val="00714CCF"/>
    <w:rsid w:val="00715DF6"/>
    <w:rsid w:val="007172F2"/>
    <w:rsid w:val="0071733E"/>
    <w:rsid w:val="007178C3"/>
    <w:rsid w:val="00717907"/>
    <w:rsid w:val="00717DFC"/>
    <w:rsid w:val="00720D30"/>
    <w:rsid w:val="00721296"/>
    <w:rsid w:val="00721E02"/>
    <w:rsid w:val="00722367"/>
    <w:rsid w:val="00722922"/>
    <w:rsid w:val="0072308A"/>
    <w:rsid w:val="0072462A"/>
    <w:rsid w:val="00727484"/>
    <w:rsid w:val="00727816"/>
    <w:rsid w:val="00727949"/>
    <w:rsid w:val="00727EFA"/>
    <w:rsid w:val="0073037B"/>
    <w:rsid w:val="00731B02"/>
    <w:rsid w:val="00731CA7"/>
    <w:rsid w:val="00732AF2"/>
    <w:rsid w:val="00732B19"/>
    <w:rsid w:val="00733419"/>
    <w:rsid w:val="0073493A"/>
    <w:rsid w:val="00734E74"/>
    <w:rsid w:val="0073563F"/>
    <w:rsid w:val="0073613C"/>
    <w:rsid w:val="00736606"/>
    <w:rsid w:val="00736F34"/>
    <w:rsid w:val="00737BE5"/>
    <w:rsid w:val="007400E8"/>
    <w:rsid w:val="007406D6"/>
    <w:rsid w:val="00740B26"/>
    <w:rsid w:val="00740C62"/>
    <w:rsid w:val="00741216"/>
    <w:rsid w:val="00741327"/>
    <w:rsid w:val="00742EC6"/>
    <w:rsid w:val="00743160"/>
    <w:rsid w:val="00743925"/>
    <w:rsid w:val="00743E27"/>
    <w:rsid w:val="007442CB"/>
    <w:rsid w:val="00744CA3"/>
    <w:rsid w:val="00744F8F"/>
    <w:rsid w:val="00747EA9"/>
    <w:rsid w:val="0075066F"/>
    <w:rsid w:val="00750976"/>
    <w:rsid w:val="00751B6D"/>
    <w:rsid w:val="0075331F"/>
    <w:rsid w:val="00753F69"/>
    <w:rsid w:val="0076026C"/>
    <w:rsid w:val="00760422"/>
    <w:rsid w:val="00760B96"/>
    <w:rsid w:val="007611D5"/>
    <w:rsid w:val="007617ED"/>
    <w:rsid w:val="00761AC6"/>
    <w:rsid w:val="007620DC"/>
    <w:rsid w:val="007631A9"/>
    <w:rsid w:val="00763455"/>
    <w:rsid w:val="00763EF4"/>
    <w:rsid w:val="00764302"/>
    <w:rsid w:val="00764D8C"/>
    <w:rsid w:val="0076575C"/>
    <w:rsid w:val="00765788"/>
    <w:rsid w:val="0076579E"/>
    <w:rsid w:val="007673B2"/>
    <w:rsid w:val="0076781D"/>
    <w:rsid w:val="00767CDA"/>
    <w:rsid w:val="007700AE"/>
    <w:rsid w:val="007728B7"/>
    <w:rsid w:val="00773154"/>
    <w:rsid w:val="0077357D"/>
    <w:rsid w:val="0077391C"/>
    <w:rsid w:val="00773966"/>
    <w:rsid w:val="00776985"/>
    <w:rsid w:val="00776D17"/>
    <w:rsid w:val="00776D53"/>
    <w:rsid w:val="007771DF"/>
    <w:rsid w:val="00777226"/>
    <w:rsid w:val="0078044B"/>
    <w:rsid w:val="00780469"/>
    <w:rsid w:val="007846A0"/>
    <w:rsid w:val="00786050"/>
    <w:rsid w:val="00786996"/>
    <w:rsid w:val="00787547"/>
    <w:rsid w:val="00791983"/>
    <w:rsid w:val="0079226A"/>
    <w:rsid w:val="00792D60"/>
    <w:rsid w:val="00793AD7"/>
    <w:rsid w:val="007942B0"/>
    <w:rsid w:val="00794543"/>
    <w:rsid w:val="007960BA"/>
    <w:rsid w:val="007977F1"/>
    <w:rsid w:val="007979C4"/>
    <w:rsid w:val="007A0A7F"/>
    <w:rsid w:val="007A14E9"/>
    <w:rsid w:val="007A15C5"/>
    <w:rsid w:val="007A1725"/>
    <w:rsid w:val="007A2246"/>
    <w:rsid w:val="007A22CF"/>
    <w:rsid w:val="007A27BB"/>
    <w:rsid w:val="007A2846"/>
    <w:rsid w:val="007A373E"/>
    <w:rsid w:val="007A478E"/>
    <w:rsid w:val="007A4827"/>
    <w:rsid w:val="007A5202"/>
    <w:rsid w:val="007A5615"/>
    <w:rsid w:val="007A5C75"/>
    <w:rsid w:val="007A63AE"/>
    <w:rsid w:val="007A7301"/>
    <w:rsid w:val="007A7A41"/>
    <w:rsid w:val="007B1B11"/>
    <w:rsid w:val="007B20B6"/>
    <w:rsid w:val="007B2AC2"/>
    <w:rsid w:val="007B3373"/>
    <w:rsid w:val="007B38DB"/>
    <w:rsid w:val="007B3D5C"/>
    <w:rsid w:val="007B41DD"/>
    <w:rsid w:val="007B522E"/>
    <w:rsid w:val="007B62AF"/>
    <w:rsid w:val="007B6865"/>
    <w:rsid w:val="007B6B59"/>
    <w:rsid w:val="007B6DB6"/>
    <w:rsid w:val="007B744B"/>
    <w:rsid w:val="007B75F7"/>
    <w:rsid w:val="007B76A8"/>
    <w:rsid w:val="007C033E"/>
    <w:rsid w:val="007C0DB9"/>
    <w:rsid w:val="007C2306"/>
    <w:rsid w:val="007C2D42"/>
    <w:rsid w:val="007C371A"/>
    <w:rsid w:val="007C38A8"/>
    <w:rsid w:val="007C433B"/>
    <w:rsid w:val="007C6EB4"/>
    <w:rsid w:val="007C6FBF"/>
    <w:rsid w:val="007C72C5"/>
    <w:rsid w:val="007C79DA"/>
    <w:rsid w:val="007D01C8"/>
    <w:rsid w:val="007D04A8"/>
    <w:rsid w:val="007D0789"/>
    <w:rsid w:val="007D0FFF"/>
    <w:rsid w:val="007D116D"/>
    <w:rsid w:val="007D142D"/>
    <w:rsid w:val="007D1E60"/>
    <w:rsid w:val="007D2204"/>
    <w:rsid w:val="007D2EED"/>
    <w:rsid w:val="007D6AE4"/>
    <w:rsid w:val="007D77BF"/>
    <w:rsid w:val="007D7D7F"/>
    <w:rsid w:val="007D7E5B"/>
    <w:rsid w:val="007E0A1A"/>
    <w:rsid w:val="007E0F5E"/>
    <w:rsid w:val="007E2DF5"/>
    <w:rsid w:val="007E2E97"/>
    <w:rsid w:val="007E359B"/>
    <w:rsid w:val="007E35FF"/>
    <w:rsid w:val="007E3D14"/>
    <w:rsid w:val="007E461B"/>
    <w:rsid w:val="007E477D"/>
    <w:rsid w:val="007E5DC3"/>
    <w:rsid w:val="007E6618"/>
    <w:rsid w:val="007E7AEA"/>
    <w:rsid w:val="007E7D58"/>
    <w:rsid w:val="007F025D"/>
    <w:rsid w:val="007F0635"/>
    <w:rsid w:val="007F088A"/>
    <w:rsid w:val="007F0E93"/>
    <w:rsid w:val="007F1A28"/>
    <w:rsid w:val="007F29E4"/>
    <w:rsid w:val="007F2E9C"/>
    <w:rsid w:val="007F56F2"/>
    <w:rsid w:val="007F5C52"/>
    <w:rsid w:val="007F6349"/>
    <w:rsid w:val="007F6BEC"/>
    <w:rsid w:val="007F7098"/>
    <w:rsid w:val="007F76F8"/>
    <w:rsid w:val="007F7E2A"/>
    <w:rsid w:val="00800C8A"/>
    <w:rsid w:val="008015E1"/>
    <w:rsid w:val="00801FCC"/>
    <w:rsid w:val="008026C7"/>
    <w:rsid w:val="00803BC5"/>
    <w:rsid w:val="008052F8"/>
    <w:rsid w:val="00805F6E"/>
    <w:rsid w:val="00807674"/>
    <w:rsid w:val="00807F5F"/>
    <w:rsid w:val="00810D3A"/>
    <w:rsid w:val="00811327"/>
    <w:rsid w:val="0081157B"/>
    <w:rsid w:val="00812765"/>
    <w:rsid w:val="008135A5"/>
    <w:rsid w:val="0081373E"/>
    <w:rsid w:val="00813B76"/>
    <w:rsid w:val="00813DB3"/>
    <w:rsid w:val="0081524F"/>
    <w:rsid w:val="00816BC0"/>
    <w:rsid w:val="0081749A"/>
    <w:rsid w:val="008174FF"/>
    <w:rsid w:val="00817913"/>
    <w:rsid w:val="00817BB0"/>
    <w:rsid w:val="0082088B"/>
    <w:rsid w:val="00820D30"/>
    <w:rsid w:val="00820E5C"/>
    <w:rsid w:val="008215A1"/>
    <w:rsid w:val="0082162B"/>
    <w:rsid w:val="00821656"/>
    <w:rsid w:val="00821AAE"/>
    <w:rsid w:val="00822786"/>
    <w:rsid w:val="0082328E"/>
    <w:rsid w:val="00823811"/>
    <w:rsid w:val="00823863"/>
    <w:rsid w:val="008245AB"/>
    <w:rsid w:val="00825F78"/>
    <w:rsid w:val="0082633B"/>
    <w:rsid w:val="00827A21"/>
    <w:rsid w:val="00830A2F"/>
    <w:rsid w:val="00830C01"/>
    <w:rsid w:val="00831382"/>
    <w:rsid w:val="00831CC6"/>
    <w:rsid w:val="00832765"/>
    <w:rsid w:val="00832879"/>
    <w:rsid w:val="00833839"/>
    <w:rsid w:val="00834281"/>
    <w:rsid w:val="00834950"/>
    <w:rsid w:val="00835063"/>
    <w:rsid w:val="00836073"/>
    <w:rsid w:val="00836F60"/>
    <w:rsid w:val="00837581"/>
    <w:rsid w:val="00837B24"/>
    <w:rsid w:val="00837CFE"/>
    <w:rsid w:val="00837D98"/>
    <w:rsid w:val="00837EB1"/>
    <w:rsid w:val="008408DA"/>
    <w:rsid w:val="00840F10"/>
    <w:rsid w:val="0084121F"/>
    <w:rsid w:val="00843437"/>
    <w:rsid w:val="00843860"/>
    <w:rsid w:val="008448FF"/>
    <w:rsid w:val="00845ED2"/>
    <w:rsid w:val="00846300"/>
    <w:rsid w:val="008465F3"/>
    <w:rsid w:val="008474C4"/>
    <w:rsid w:val="00847D41"/>
    <w:rsid w:val="0085203B"/>
    <w:rsid w:val="0085252C"/>
    <w:rsid w:val="0085290E"/>
    <w:rsid w:val="00852A8C"/>
    <w:rsid w:val="00852EAC"/>
    <w:rsid w:val="00852EF9"/>
    <w:rsid w:val="00853DEB"/>
    <w:rsid w:val="00855372"/>
    <w:rsid w:val="008558D4"/>
    <w:rsid w:val="00855D98"/>
    <w:rsid w:val="0085609B"/>
    <w:rsid w:val="0085618A"/>
    <w:rsid w:val="00857ED8"/>
    <w:rsid w:val="00860582"/>
    <w:rsid w:val="0086065F"/>
    <w:rsid w:val="00860AB0"/>
    <w:rsid w:val="00861B3B"/>
    <w:rsid w:val="00863873"/>
    <w:rsid w:val="00863F0D"/>
    <w:rsid w:val="00863F68"/>
    <w:rsid w:val="008640FE"/>
    <w:rsid w:val="0086540E"/>
    <w:rsid w:val="00865655"/>
    <w:rsid w:val="008660AC"/>
    <w:rsid w:val="0086657C"/>
    <w:rsid w:val="0086682B"/>
    <w:rsid w:val="00867137"/>
    <w:rsid w:val="00870AA6"/>
    <w:rsid w:val="00873AE8"/>
    <w:rsid w:val="00874A9D"/>
    <w:rsid w:val="0087595C"/>
    <w:rsid w:val="00875A6F"/>
    <w:rsid w:val="00875CBA"/>
    <w:rsid w:val="0088043C"/>
    <w:rsid w:val="00880539"/>
    <w:rsid w:val="008807AC"/>
    <w:rsid w:val="008815AA"/>
    <w:rsid w:val="008841EB"/>
    <w:rsid w:val="00884484"/>
    <w:rsid w:val="00885300"/>
    <w:rsid w:val="00885B0A"/>
    <w:rsid w:val="00886BC8"/>
    <w:rsid w:val="00887639"/>
    <w:rsid w:val="00890E4D"/>
    <w:rsid w:val="008910B3"/>
    <w:rsid w:val="008917DB"/>
    <w:rsid w:val="00891F30"/>
    <w:rsid w:val="008921FA"/>
    <w:rsid w:val="0089251B"/>
    <w:rsid w:val="008925E0"/>
    <w:rsid w:val="00893C1D"/>
    <w:rsid w:val="00893FCB"/>
    <w:rsid w:val="00894F43"/>
    <w:rsid w:val="0089529C"/>
    <w:rsid w:val="00895664"/>
    <w:rsid w:val="008962BC"/>
    <w:rsid w:val="008967D4"/>
    <w:rsid w:val="00897228"/>
    <w:rsid w:val="0089775D"/>
    <w:rsid w:val="00897C09"/>
    <w:rsid w:val="00897C5A"/>
    <w:rsid w:val="00897CB5"/>
    <w:rsid w:val="008A0D71"/>
    <w:rsid w:val="008A1D0F"/>
    <w:rsid w:val="008A22D9"/>
    <w:rsid w:val="008A26AF"/>
    <w:rsid w:val="008A26CD"/>
    <w:rsid w:val="008A279C"/>
    <w:rsid w:val="008A30AF"/>
    <w:rsid w:val="008A38C6"/>
    <w:rsid w:val="008A43DB"/>
    <w:rsid w:val="008A525D"/>
    <w:rsid w:val="008A6AAD"/>
    <w:rsid w:val="008A7A17"/>
    <w:rsid w:val="008B0260"/>
    <w:rsid w:val="008B1344"/>
    <w:rsid w:val="008B269F"/>
    <w:rsid w:val="008B26F1"/>
    <w:rsid w:val="008B2D8C"/>
    <w:rsid w:val="008B32A1"/>
    <w:rsid w:val="008B47E3"/>
    <w:rsid w:val="008B495F"/>
    <w:rsid w:val="008B4C71"/>
    <w:rsid w:val="008B4EF1"/>
    <w:rsid w:val="008B4F08"/>
    <w:rsid w:val="008B6005"/>
    <w:rsid w:val="008B7081"/>
    <w:rsid w:val="008B725C"/>
    <w:rsid w:val="008C0AD3"/>
    <w:rsid w:val="008C1E2E"/>
    <w:rsid w:val="008C2A75"/>
    <w:rsid w:val="008C2DBF"/>
    <w:rsid w:val="008C4464"/>
    <w:rsid w:val="008C52DC"/>
    <w:rsid w:val="008C5713"/>
    <w:rsid w:val="008C5AF7"/>
    <w:rsid w:val="008C6204"/>
    <w:rsid w:val="008C6618"/>
    <w:rsid w:val="008C7748"/>
    <w:rsid w:val="008D0772"/>
    <w:rsid w:val="008D1009"/>
    <w:rsid w:val="008D13BD"/>
    <w:rsid w:val="008D1941"/>
    <w:rsid w:val="008D2F55"/>
    <w:rsid w:val="008D31D9"/>
    <w:rsid w:val="008D3EA9"/>
    <w:rsid w:val="008D44B9"/>
    <w:rsid w:val="008D62DF"/>
    <w:rsid w:val="008D6A15"/>
    <w:rsid w:val="008E0528"/>
    <w:rsid w:val="008E06F7"/>
    <w:rsid w:val="008E1603"/>
    <w:rsid w:val="008E26C5"/>
    <w:rsid w:val="008E2DEF"/>
    <w:rsid w:val="008E2F36"/>
    <w:rsid w:val="008E3042"/>
    <w:rsid w:val="008E3CEE"/>
    <w:rsid w:val="008E44C5"/>
    <w:rsid w:val="008E4609"/>
    <w:rsid w:val="008E5969"/>
    <w:rsid w:val="008E6578"/>
    <w:rsid w:val="008E6CD4"/>
    <w:rsid w:val="008F0E6E"/>
    <w:rsid w:val="008F1022"/>
    <w:rsid w:val="008F1CCD"/>
    <w:rsid w:val="008F3325"/>
    <w:rsid w:val="008F3B43"/>
    <w:rsid w:val="008F48C5"/>
    <w:rsid w:val="008F5175"/>
    <w:rsid w:val="008F5495"/>
    <w:rsid w:val="008F5B0F"/>
    <w:rsid w:val="008F5EF0"/>
    <w:rsid w:val="008F628A"/>
    <w:rsid w:val="008F62FA"/>
    <w:rsid w:val="008F6DD2"/>
    <w:rsid w:val="008F768B"/>
    <w:rsid w:val="008F7886"/>
    <w:rsid w:val="008F7B00"/>
    <w:rsid w:val="009006A6"/>
    <w:rsid w:val="0090160F"/>
    <w:rsid w:val="00901F9B"/>
    <w:rsid w:val="0090313F"/>
    <w:rsid w:val="0090328E"/>
    <w:rsid w:val="00903E82"/>
    <w:rsid w:val="00903F75"/>
    <w:rsid w:val="0090412A"/>
    <w:rsid w:val="00904EF5"/>
    <w:rsid w:val="00905878"/>
    <w:rsid w:val="009061DF"/>
    <w:rsid w:val="00906ED2"/>
    <w:rsid w:val="00907D65"/>
    <w:rsid w:val="00907FD3"/>
    <w:rsid w:val="009105A4"/>
    <w:rsid w:val="00911BF2"/>
    <w:rsid w:val="0091321E"/>
    <w:rsid w:val="00913596"/>
    <w:rsid w:val="00914865"/>
    <w:rsid w:val="00916137"/>
    <w:rsid w:val="00917705"/>
    <w:rsid w:val="009179EA"/>
    <w:rsid w:val="00920AF0"/>
    <w:rsid w:val="00921376"/>
    <w:rsid w:val="00921402"/>
    <w:rsid w:val="00921811"/>
    <w:rsid w:val="0092299B"/>
    <w:rsid w:val="00922DC7"/>
    <w:rsid w:val="00922E19"/>
    <w:rsid w:val="00923D6C"/>
    <w:rsid w:val="00924ED5"/>
    <w:rsid w:val="009252D3"/>
    <w:rsid w:val="0092535B"/>
    <w:rsid w:val="009263FF"/>
    <w:rsid w:val="009277C2"/>
    <w:rsid w:val="0093034B"/>
    <w:rsid w:val="00930DF9"/>
    <w:rsid w:val="00930EE7"/>
    <w:rsid w:val="00931048"/>
    <w:rsid w:val="00931947"/>
    <w:rsid w:val="00931AEC"/>
    <w:rsid w:val="00932338"/>
    <w:rsid w:val="009323BF"/>
    <w:rsid w:val="00932EC5"/>
    <w:rsid w:val="00933116"/>
    <w:rsid w:val="00933195"/>
    <w:rsid w:val="00933623"/>
    <w:rsid w:val="00934269"/>
    <w:rsid w:val="00934E4B"/>
    <w:rsid w:val="00935512"/>
    <w:rsid w:val="00935C00"/>
    <w:rsid w:val="009373C5"/>
    <w:rsid w:val="0093747A"/>
    <w:rsid w:val="00937AD2"/>
    <w:rsid w:val="0094015F"/>
    <w:rsid w:val="00940456"/>
    <w:rsid w:val="009415F8"/>
    <w:rsid w:val="00941980"/>
    <w:rsid w:val="0094325C"/>
    <w:rsid w:val="0094443C"/>
    <w:rsid w:val="0094490C"/>
    <w:rsid w:val="00944E81"/>
    <w:rsid w:val="009456C5"/>
    <w:rsid w:val="00945805"/>
    <w:rsid w:val="0095005E"/>
    <w:rsid w:val="0095184A"/>
    <w:rsid w:val="009519E3"/>
    <w:rsid w:val="00951E2D"/>
    <w:rsid w:val="00951E95"/>
    <w:rsid w:val="00951FDB"/>
    <w:rsid w:val="0095286A"/>
    <w:rsid w:val="0095340D"/>
    <w:rsid w:val="00954550"/>
    <w:rsid w:val="00954955"/>
    <w:rsid w:val="00955BCA"/>
    <w:rsid w:val="009566B5"/>
    <w:rsid w:val="009569DF"/>
    <w:rsid w:val="00956FF4"/>
    <w:rsid w:val="00960DD7"/>
    <w:rsid w:val="00961075"/>
    <w:rsid w:val="009618DC"/>
    <w:rsid w:val="0096332F"/>
    <w:rsid w:val="00963827"/>
    <w:rsid w:val="009642F5"/>
    <w:rsid w:val="00964941"/>
    <w:rsid w:val="00965676"/>
    <w:rsid w:val="009666F9"/>
    <w:rsid w:val="00966D59"/>
    <w:rsid w:val="00967D0F"/>
    <w:rsid w:val="00967D80"/>
    <w:rsid w:val="00970128"/>
    <w:rsid w:val="00970759"/>
    <w:rsid w:val="00970CBC"/>
    <w:rsid w:val="00971CD4"/>
    <w:rsid w:val="00972D53"/>
    <w:rsid w:val="00973DCC"/>
    <w:rsid w:val="00974340"/>
    <w:rsid w:val="00975B10"/>
    <w:rsid w:val="00975BD7"/>
    <w:rsid w:val="00976130"/>
    <w:rsid w:val="009766C2"/>
    <w:rsid w:val="0097674B"/>
    <w:rsid w:val="00976F05"/>
    <w:rsid w:val="0098017F"/>
    <w:rsid w:val="00980256"/>
    <w:rsid w:val="00980D8E"/>
    <w:rsid w:val="00981AF3"/>
    <w:rsid w:val="00982C5F"/>
    <w:rsid w:val="009830D7"/>
    <w:rsid w:val="00983EB2"/>
    <w:rsid w:val="00984330"/>
    <w:rsid w:val="009845B2"/>
    <w:rsid w:val="00984B98"/>
    <w:rsid w:val="00984E1C"/>
    <w:rsid w:val="0098669F"/>
    <w:rsid w:val="00987597"/>
    <w:rsid w:val="00992B35"/>
    <w:rsid w:val="009930C7"/>
    <w:rsid w:val="009939B0"/>
    <w:rsid w:val="009939BC"/>
    <w:rsid w:val="00993D48"/>
    <w:rsid w:val="00993D92"/>
    <w:rsid w:val="0099475B"/>
    <w:rsid w:val="00994E5A"/>
    <w:rsid w:val="00995150"/>
    <w:rsid w:val="00995B90"/>
    <w:rsid w:val="00997FBC"/>
    <w:rsid w:val="009A0DBC"/>
    <w:rsid w:val="009A124A"/>
    <w:rsid w:val="009A189A"/>
    <w:rsid w:val="009A1CC7"/>
    <w:rsid w:val="009A1D2C"/>
    <w:rsid w:val="009A28FD"/>
    <w:rsid w:val="009A2DC2"/>
    <w:rsid w:val="009A3145"/>
    <w:rsid w:val="009A330C"/>
    <w:rsid w:val="009A6C12"/>
    <w:rsid w:val="009A7292"/>
    <w:rsid w:val="009A7661"/>
    <w:rsid w:val="009A78E8"/>
    <w:rsid w:val="009B0314"/>
    <w:rsid w:val="009B0D02"/>
    <w:rsid w:val="009B0FFA"/>
    <w:rsid w:val="009B1256"/>
    <w:rsid w:val="009B1306"/>
    <w:rsid w:val="009B16CA"/>
    <w:rsid w:val="009B1BF3"/>
    <w:rsid w:val="009B1EB8"/>
    <w:rsid w:val="009B23C1"/>
    <w:rsid w:val="009B2813"/>
    <w:rsid w:val="009B2D5E"/>
    <w:rsid w:val="009B33A5"/>
    <w:rsid w:val="009B3DC9"/>
    <w:rsid w:val="009B4845"/>
    <w:rsid w:val="009B5CD4"/>
    <w:rsid w:val="009B67A1"/>
    <w:rsid w:val="009C0140"/>
    <w:rsid w:val="009C016D"/>
    <w:rsid w:val="009C24DD"/>
    <w:rsid w:val="009C24F5"/>
    <w:rsid w:val="009C290D"/>
    <w:rsid w:val="009C3C55"/>
    <w:rsid w:val="009C4C02"/>
    <w:rsid w:val="009C522B"/>
    <w:rsid w:val="009C53C3"/>
    <w:rsid w:val="009C5D50"/>
    <w:rsid w:val="009C6CD2"/>
    <w:rsid w:val="009C76A6"/>
    <w:rsid w:val="009C785C"/>
    <w:rsid w:val="009D0D0E"/>
    <w:rsid w:val="009D2264"/>
    <w:rsid w:val="009D30EE"/>
    <w:rsid w:val="009D4681"/>
    <w:rsid w:val="009D5BB9"/>
    <w:rsid w:val="009D5D7E"/>
    <w:rsid w:val="009D6435"/>
    <w:rsid w:val="009D6A30"/>
    <w:rsid w:val="009D6C71"/>
    <w:rsid w:val="009D76C5"/>
    <w:rsid w:val="009E177E"/>
    <w:rsid w:val="009E1D3B"/>
    <w:rsid w:val="009E20B9"/>
    <w:rsid w:val="009E55D6"/>
    <w:rsid w:val="009E623A"/>
    <w:rsid w:val="009E65E4"/>
    <w:rsid w:val="009E7391"/>
    <w:rsid w:val="009E752C"/>
    <w:rsid w:val="009F0E3B"/>
    <w:rsid w:val="009F118B"/>
    <w:rsid w:val="009F2C17"/>
    <w:rsid w:val="009F36B3"/>
    <w:rsid w:val="009F3AF9"/>
    <w:rsid w:val="009F41F3"/>
    <w:rsid w:val="009F457C"/>
    <w:rsid w:val="009F6147"/>
    <w:rsid w:val="009F743C"/>
    <w:rsid w:val="009F7891"/>
    <w:rsid w:val="00A01403"/>
    <w:rsid w:val="00A01A01"/>
    <w:rsid w:val="00A01A2C"/>
    <w:rsid w:val="00A01CB4"/>
    <w:rsid w:val="00A0369F"/>
    <w:rsid w:val="00A04EAC"/>
    <w:rsid w:val="00A0577B"/>
    <w:rsid w:val="00A06A19"/>
    <w:rsid w:val="00A1048F"/>
    <w:rsid w:val="00A11DD6"/>
    <w:rsid w:val="00A1351F"/>
    <w:rsid w:val="00A1381B"/>
    <w:rsid w:val="00A14593"/>
    <w:rsid w:val="00A14746"/>
    <w:rsid w:val="00A14B7A"/>
    <w:rsid w:val="00A15011"/>
    <w:rsid w:val="00A1714D"/>
    <w:rsid w:val="00A1729E"/>
    <w:rsid w:val="00A205AC"/>
    <w:rsid w:val="00A206A1"/>
    <w:rsid w:val="00A20903"/>
    <w:rsid w:val="00A220D0"/>
    <w:rsid w:val="00A2219D"/>
    <w:rsid w:val="00A221BC"/>
    <w:rsid w:val="00A25223"/>
    <w:rsid w:val="00A259E3"/>
    <w:rsid w:val="00A2760A"/>
    <w:rsid w:val="00A306F6"/>
    <w:rsid w:val="00A30AC4"/>
    <w:rsid w:val="00A30BB1"/>
    <w:rsid w:val="00A3196B"/>
    <w:rsid w:val="00A319F9"/>
    <w:rsid w:val="00A327CA"/>
    <w:rsid w:val="00A334EA"/>
    <w:rsid w:val="00A33603"/>
    <w:rsid w:val="00A3399C"/>
    <w:rsid w:val="00A33CCF"/>
    <w:rsid w:val="00A34AA7"/>
    <w:rsid w:val="00A34F0C"/>
    <w:rsid w:val="00A34FA5"/>
    <w:rsid w:val="00A36ADC"/>
    <w:rsid w:val="00A37D26"/>
    <w:rsid w:val="00A405A4"/>
    <w:rsid w:val="00A408A7"/>
    <w:rsid w:val="00A40B38"/>
    <w:rsid w:val="00A40D54"/>
    <w:rsid w:val="00A41F24"/>
    <w:rsid w:val="00A431DC"/>
    <w:rsid w:val="00A43E3A"/>
    <w:rsid w:val="00A43FFE"/>
    <w:rsid w:val="00A45A06"/>
    <w:rsid w:val="00A45AFE"/>
    <w:rsid w:val="00A467B1"/>
    <w:rsid w:val="00A46976"/>
    <w:rsid w:val="00A4727A"/>
    <w:rsid w:val="00A47880"/>
    <w:rsid w:val="00A47BA3"/>
    <w:rsid w:val="00A50C04"/>
    <w:rsid w:val="00A5113F"/>
    <w:rsid w:val="00A51848"/>
    <w:rsid w:val="00A5189C"/>
    <w:rsid w:val="00A51E9A"/>
    <w:rsid w:val="00A5250A"/>
    <w:rsid w:val="00A529EA"/>
    <w:rsid w:val="00A5591E"/>
    <w:rsid w:val="00A55E73"/>
    <w:rsid w:val="00A566F9"/>
    <w:rsid w:val="00A572DB"/>
    <w:rsid w:val="00A60D72"/>
    <w:rsid w:val="00A620E5"/>
    <w:rsid w:val="00A62CE9"/>
    <w:rsid w:val="00A632D1"/>
    <w:rsid w:val="00A64A9E"/>
    <w:rsid w:val="00A64B9C"/>
    <w:rsid w:val="00A64E58"/>
    <w:rsid w:val="00A6502B"/>
    <w:rsid w:val="00A65B9B"/>
    <w:rsid w:val="00A674BC"/>
    <w:rsid w:val="00A70724"/>
    <w:rsid w:val="00A719B6"/>
    <w:rsid w:val="00A72964"/>
    <w:rsid w:val="00A7296C"/>
    <w:rsid w:val="00A72CB7"/>
    <w:rsid w:val="00A73A7B"/>
    <w:rsid w:val="00A7562E"/>
    <w:rsid w:val="00A75AA1"/>
    <w:rsid w:val="00A76311"/>
    <w:rsid w:val="00A804DA"/>
    <w:rsid w:val="00A81603"/>
    <w:rsid w:val="00A82791"/>
    <w:rsid w:val="00A837C7"/>
    <w:rsid w:val="00A839DB"/>
    <w:rsid w:val="00A83DC9"/>
    <w:rsid w:val="00A842BE"/>
    <w:rsid w:val="00A847C1"/>
    <w:rsid w:val="00A84834"/>
    <w:rsid w:val="00A852B3"/>
    <w:rsid w:val="00A8659C"/>
    <w:rsid w:val="00A86A31"/>
    <w:rsid w:val="00A874E5"/>
    <w:rsid w:val="00A90345"/>
    <w:rsid w:val="00A91130"/>
    <w:rsid w:val="00A9131C"/>
    <w:rsid w:val="00A91D1E"/>
    <w:rsid w:val="00A92F0B"/>
    <w:rsid w:val="00A93067"/>
    <w:rsid w:val="00A9309B"/>
    <w:rsid w:val="00A93713"/>
    <w:rsid w:val="00A94410"/>
    <w:rsid w:val="00A97B17"/>
    <w:rsid w:val="00A97D68"/>
    <w:rsid w:val="00AA03E0"/>
    <w:rsid w:val="00AA0DA3"/>
    <w:rsid w:val="00AA33E6"/>
    <w:rsid w:val="00AA3651"/>
    <w:rsid w:val="00AA5182"/>
    <w:rsid w:val="00AA5191"/>
    <w:rsid w:val="00AA5FC6"/>
    <w:rsid w:val="00AA6805"/>
    <w:rsid w:val="00AA6DAE"/>
    <w:rsid w:val="00AB09E8"/>
    <w:rsid w:val="00AB1DE5"/>
    <w:rsid w:val="00AB2194"/>
    <w:rsid w:val="00AB2CEE"/>
    <w:rsid w:val="00AB2D44"/>
    <w:rsid w:val="00AB3D3B"/>
    <w:rsid w:val="00AB4915"/>
    <w:rsid w:val="00AB4995"/>
    <w:rsid w:val="00AB505B"/>
    <w:rsid w:val="00AB6E93"/>
    <w:rsid w:val="00AB7941"/>
    <w:rsid w:val="00AC157F"/>
    <w:rsid w:val="00AC272A"/>
    <w:rsid w:val="00AC3C90"/>
    <w:rsid w:val="00AC44D5"/>
    <w:rsid w:val="00AC4B47"/>
    <w:rsid w:val="00AC50E3"/>
    <w:rsid w:val="00AC6166"/>
    <w:rsid w:val="00AC6C29"/>
    <w:rsid w:val="00AC7C6D"/>
    <w:rsid w:val="00AC7CA9"/>
    <w:rsid w:val="00AD027B"/>
    <w:rsid w:val="00AD067F"/>
    <w:rsid w:val="00AD16C0"/>
    <w:rsid w:val="00AD193C"/>
    <w:rsid w:val="00AD2118"/>
    <w:rsid w:val="00AD2289"/>
    <w:rsid w:val="00AD22C3"/>
    <w:rsid w:val="00AD35E8"/>
    <w:rsid w:val="00AD3AE2"/>
    <w:rsid w:val="00AD4A85"/>
    <w:rsid w:val="00AD6158"/>
    <w:rsid w:val="00AD7C35"/>
    <w:rsid w:val="00AE1777"/>
    <w:rsid w:val="00AE1798"/>
    <w:rsid w:val="00AE1D6C"/>
    <w:rsid w:val="00AE1FEE"/>
    <w:rsid w:val="00AE3972"/>
    <w:rsid w:val="00AE446E"/>
    <w:rsid w:val="00AE4560"/>
    <w:rsid w:val="00AE50E1"/>
    <w:rsid w:val="00AE54A9"/>
    <w:rsid w:val="00AE61EC"/>
    <w:rsid w:val="00AF01D9"/>
    <w:rsid w:val="00AF0AB8"/>
    <w:rsid w:val="00AF1A1F"/>
    <w:rsid w:val="00AF22A2"/>
    <w:rsid w:val="00AF231D"/>
    <w:rsid w:val="00AF237A"/>
    <w:rsid w:val="00AF239A"/>
    <w:rsid w:val="00AF2C68"/>
    <w:rsid w:val="00AF31C0"/>
    <w:rsid w:val="00AF37E5"/>
    <w:rsid w:val="00AF37ED"/>
    <w:rsid w:val="00AF390A"/>
    <w:rsid w:val="00AF4169"/>
    <w:rsid w:val="00AF436C"/>
    <w:rsid w:val="00AF5E2E"/>
    <w:rsid w:val="00AF662E"/>
    <w:rsid w:val="00AF79D3"/>
    <w:rsid w:val="00AF7A4E"/>
    <w:rsid w:val="00B00E9B"/>
    <w:rsid w:val="00B010C7"/>
    <w:rsid w:val="00B0186E"/>
    <w:rsid w:val="00B01BD8"/>
    <w:rsid w:val="00B02E0F"/>
    <w:rsid w:val="00B02EBF"/>
    <w:rsid w:val="00B037AA"/>
    <w:rsid w:val="00B07CA1"/>
    <w:rsid w:val="00B10AD2"/>
    <w:rsid w:val="00B10C1D"/>
    <w:rsid w:val="00B119A2"/>
    <w:rsid w:val="00B12227"/>
    <w:rsid w:val="00B12BE9"/>
    <w:rsid w:val="00B13B38"/>
    <w:rsid w:val="00B14F6F"/>
    <w:rsid w:val="00B15F2B"/>
    <w:rsid w:val="00B16352"/>
    <w:rsid w:val="00B16C94"/>
    <w:rsid w:val="00B17324"/>
    <w:rsid w:val="00B17663"/>
    <w:rsid w:val="00B2104D"/>
    <w:rsid w:val="00B21FC0"/>
    <w:rsid w:val="00B220EE"/>
    <w:rsid w:val="00B222D9"/>
    <w:rsid w:val="00B2292D"/>
    <w:rsid w:val="00B22BB4"/>
    <w:rsid w:val="00B22CEC"/>
    <w:rsid w:val="00B234FF"/>
    <w:rsid w:val="00B25913"/>
    <w:rsid w:val="00B27053"/>
    <w:rsid w:val="00B31148"/>
    <w:rsid w:val="00B318DE"/>
    <w:rsid w:val="00B32F93"/>
    <w:rsid w:val="00B33750"/>
    <w:rsid w:val="00B3419D"/>
    <w:rsid w:val="00B35E3D"/>
    <w:rsid w:val="00B3613B"/>
    <w:rsid w:val="00B36D13"/>
    <w:rsid w:val="00B36FE5"/>
    <w:rsid w:val="00B37B6F"/>
    <w:rsid w:val="00B403B9"/>
    <w:rsid w:val="00B4173B"/>
    <w:rsid w:val="00B41E49"/>
    <w:rsid w:val="00B427DD"/>
    <w:rsid w:val="00B42965"/>
    <w:rsid w:val="00B4308A"/>
    <w:rsid w:val="00B44A4E"/>
    <w:rsid w:val="00B45826"/>
    <w:rsid w:val="00B45BCF"/>
    <w:rsid w:val="00B467A2"/>
    <w:rsid w:val="00B47C17"/>
    <w:rsid w:val="00B47DE8"/>
    <w:rsid w:val="00B47FF2"/>
    <w:rsid w:val="00B50E27"/>
    <w:rsid w:val="00B5155C"/>
    <w:rsid w:val="00B5269D"/>
    <w:rsid w:val="00B5293B"/>
    <w:rsid w:val="00B53B62"/>
    <w:rsid w:val="00B54137"/>
    <w:rsid w:val="00B54473"/>
    <w:rsid w:val="00B544EC"/>
    <w:rsid w:val="00B57634"/>
    <w:rsid w:val="00B57906"/>
    <w:rsid w:val="00B60096"/>
    <w:rsid w:val="00B61C2D"/>
    <w:rsid w:val="00B625F8"/>
    <w:rsid w:val="00B62B8C"/>
    <w:rsid w:val="00B63EA1"/>
    <w:rsid w:val="00B6418A"/>
    <w:rsid w:val="00B672E1"/>
    <w:rsid w:val="00B678D5"/>
    <w:rsid w:val="00B70328"/>
    <w:rsid w:val="00B70637"/>
    <w:rsid w:val="00B70DD1"/>
    <w:rsid w:val="00B70F58"/>
    <w:rsid w:val="00B717B8"/>
    <w:rsid w:val="00B72366"/>
    <w:rsid w:val="00B73D64"/>
    <w:rsid w:val="00B747FD"/>
    <w:rsid w:val="00B74F9E"/>
    <w:rsid w:val="00B76DE5"/>
    <w:rsid w:val="00B771DF"/>
    <w:rsid w:val="00B808C2"/>
    <w:rsid w:val="00B820DB"/>
    <w:rsid w:val="00B8230E"/>
    <w:rsid w:val="00B82A0B"/>
    <w:rsid w:val="00B82A0C"/>
    <w:rsid w:val="00B83748"/>
    <w:rsid w:val="00B83B79"/>
    <w:rsid w:val="00B85181"/>
    <w:rsid w:val="00B85728"/>
    <w:rsid w:val="00B85BB2"/>
    <w:rsid w:val="00B86031"/>
    <w:rsid w:val="00B86A5A"/>
    <w:rsid w:val="00B86FBA"/>
    <w:rsid w:val="00B90618"/>
    <w:rsid w:val="00B907AB"/>
    <w:rsid w:val="00B90B0B"/>
    <w:rsid w:val="00B919C4"/>
    <w:rsid w:val="00B92DB6"/>
    <w:rsid w:val="00B93CE6"/>
    <w:rsid w:val="00B93DC4"/>
    <w:rsid w:val="00B94677"/>
    <w:rsid w:val="00B953B8"/>
    <w:rsid w:val="00B95BEB"/>
    <w:rsid w:val="00B95F05"/>
    <w:rsid w:val="00B96966"/>
    <w:rsid w:val="00B974A4"/>
    <w:rsid w:val="00BA023E"/>
    <w:rsid w:val="00BA0426"/>
    <w:rsid w:val="00BA0F88"/>
    <w:rsid w:val="00BA10F2"/>
    <w:rsid w:val="00BA16A1"/>
    <w:rsid w:val="00BA1B82"/>
    <w:rsid w:val="00BA248D"/>
    <w:rsid w:val="00BA7FA5"/>
    <w:rsid w:val="00BB020E"/>
    <w:rsid w:val="00BB0DD5"/>
    <w:rsid w:val="00BB2666"/>
    <w:rsid w:val="00BB4797"/>
    <w:rsid w:val="00BB4DD0"/>
    <w:rsid w:val="00BB5424"/>
    <w:rsid w:val="00BB701F"/>
    <w:rsid w:val="00BB75B7"/>
    <w:rsid w:val="00BB7DC1"/>
    <w:rsid w:val="00BC05A9"/>
    <w:rsid w:val="00BC075E"/>
    <w:rsid w:val="00BC0B18"/>
    <w:rsid w:val="00BC10EB"/>
    <w:rsid w:val="00BC193E"/>
    <w:rsid w:val="00BC1CEE"/>
    <w:rsid w:val="00BC314F"/>
    <w:rsid w:val="00BC3E28"/>
    <w:rsid w:val="00BC3FD6"/>
    <w:rsid w:val="00BC4523"/>
    <w:rsid w:val="00BC5608"/>
    <w:rsid w:val="00BC6016"/>
    <w:rsid w:val="00BC6A97"/>
    <w:rsid w:val="00BC6BE1"/>
    <w:rsid w:val="00BD0CD9"/>
    <w:rsid w:val="00BD196C"/>
    <w:rsid w:val="00BD1A11"/>
    <w:rsid w:val="00BD1D1E"/>
    <w:rsid w:val="00BD2B6E"/>
    <w:rsid w:val="00BD4894"/>
    <w:rsid w:val="00BD5237"/>
    <w:rsid w:val="00BD586B"/>
    <w:rsid w:val="00BD594F"/>
    <w:rsid w:val="00BD5D29"/>
    <w:rsid w:val="00BD6054"/>
    <w:rsid w:val="00BD6468"/>
    <w:rsid w:val="00BD6502"/>
    <w:rsid w:val="00BD7868"/>
    <w:rsid w:val="00BE0E61"/>
    <w:rsid w:val="00BE1065"/>
    <w:rsid w:val="00BE1336"/>
    <w:rsid w:val="00BE2C8B"/>
    <w:rsid w:val="00BE2F1B"/>
    <w:rsid w:val="00BE4019"/>
    <w:rsid w:val="00BE4E6B"/>
    <w:rsid w:val="00BE4EEA"/>
    <w:rsid w:val="00BE6C0E"/>
    <w:rsid w:val="00BE6C2F"/>
    <w:rsid w:val="00BE6EFA"/>
    <w:rsid w:val="00BE7958"/>
    <w:rsid w:val="00BF01A7"/>
    <w:rsid w:val="00BF0655"/>
    <w:rsid w:val="00BF09D1"/>
    <w:rsid w:val="00BF1A94"/>
    <w:rsid w:val="00BF2A11"/>
    <w:rsid w:val="00BF324F"/>
    <w:rsid w:val="00BF39A1"/>
    <w:rsid w:val="00BF39CC"/>
    <w:rsid w:val="00BF45A3"/>
    <w:rsid w:val="00BF52FD"/>
    <w:rsid w:val="00BF5B5E"/>
    <w:rsid w:val="00BF669C"/>
    <w:rsid w:val="00BF6C02"/>
    <w:rsid w:val="00BF6F74"/>
    <w:rsid w:val="00BF7AAB"/>
    <w:rsid w:val="00C01366"/>
    <w:rsid w:val="00C0616F"/>
    <w:rsid w:val="00C06203"/>
    <w:rsid w:val="00C0661C"/>
    <w:rsid w:val="00C06752"/>
    <w:rsid w:val="00C07057"/>
    <w:rsid w:val="00C102C8"/>
    <w:rsid w:val="00C112E8"/>
    <w:rsid w:val="00C114EE"/>
    <w:rsid w:val="00C142F2"/>
    <w:rsid w:val="00C14820"/>
    <w:rsid w:val="00C15582"/>
    <w:rsid w:val="00C155E4"/>
    <w:rsid w:val="00C15938"/>
    <w:rsid w:val="00C15A58"/>
    <w:rsid w:val="00C17B0A"/>
    <w:rsid w:val="00C20E3B"/>
    <w:rsid w:val="00C23AEF"/>
    <w:rsid w:val="00C2410A"/>
    <w:rsid w:val="00C25D0C"/>
    <w:rsid w:val="00C25E7E"/>
    <w:rsid w:val="00C261BE"/>
    <w:rsid w:val="00C26CA3"/>
    <w:rsid w:val="00C27BEF"/>
    <w:rsid w:val="00C337D5"/>
    <w:rsid w:val="00C34B50"/>
    <w:rsid w:val="00C34CB3"/>
    <w:rsid w:val="00C35890"/>
    <w:rsid w:val="00C41DAF"/>
    <w:rsid w:val="00C41EB1"/>
    <w:rsid w:val="00C435A9"/>
    <w:rsid w:val="00C448DA"/>
    <w:rsid w:val="00C450E8"/>
    <w:rsid w:val="00C454D8"/>
    <w:rsid w:val="00C45D9E"/>
    <w:rsid w:val="00C46554"/>
    <w:rsid w:val="00C47A47"/>
    <w:rsid w:val="00C5047E"/>
    <w:rsid w:val="00C50F0F"/>
    <w:rsid w:val="00C517EB"/>
    <w:rsid w:val="00C52485"/>
    <w:rsid w:val="00C52AF5"/>
    <w:rsid w:val="00C530D8"/>
    <w:rsid w:val="00C5377E"/>
    <w:rsid w:val="00C54B52"/>
    <w:rsid w:val="00C55721"/>
    <w:rsid w:val="00C60424"/>
    <w:rsid w:val="00C605A6"/>
    <w:rsid w:val="00C61D7B"/>
    <w:rsid w:val="00C62D8B"/>
    <w:rsid w:val="00C63243"/>
    <w:rsid w:val="00C67C68"/>
    <w:rsid w:val="00C70A4B"/>
    <w:rsid w:val="00C733B3"/>
    <w:rsid w:val="00C8002E"/>
    <w:rsid w:val="00C80F76"/>
    <w:rsid w:val="00C8165C"/>
    <w:rsid w:val="00C82A69"/>
    <w:rsid w:val="00C830F0"/>
    <w:rsid w:val="00C83241"/>
    <w:rsid w:val="00C832C3"/>
    <w:rsid w:val="00C8390E"/>
    <w:rsid w:val="00C84269"/>
    <w:rsid w:val="00C84BA6"/>
    <w:rsid w:val="00C85327"/>
    <w:rsid w:val="00C8565A"/>
    <w:rsid w:val="00C85BDF"/>
    <w:rsid w:val="00C85F77"/>
    <w:rsid w:val="00C8648C"/>
    <w:rsid w:val="00C87B8A"/>
    <w:rsid w:val="00C90840"/>
    <w:rsid w:val="00C90FFB"/>
    <w:rsid w:val="00C930D6"/>
    <w:rsid w:val="00C9393B"/>
    <w:rsid w:val="00C947FA"/>
    <w:rsid w:val="00C94B6E"/>
    <w:rsid w:val="00C9580B"/>
    <w:rsid w:val="00C95AC4"/>
    <w:rsid w:val="00C96C3A"/>
    <w:rsid w:val="00C97CC9"/>
    <w:rsid w:val="00CA1621"/>
    <w:rsid w:val="00CA1C10"/>
    <w:rsid w:val="00CA307C"/>
    <w:rsid w:val="00CA3801"/>
    <w:rsid w:val="00CA3A7D"/>
    <w:rsid w:val="00CA3E2D"/>
    <w:rsid w:val="00CA6747"/>
    <w:rsid w:val="00CA6754"/>
    <w:rsid w:val="00CA71A5"/>
    <w:rsid w:val="00CA7FB3"/>
    <w:rsid w:val="00CB02F7"/>
    <w:rsid w:val="00CB06F1"/>
    <w:rsid w:val="00CB0BD4"/>
    <w:rsid w:val="00CB0FBD"/>
    <w:rsid w:val="00CB150B"/>
    <w:rsid w:val="00CB17C0"/>
    <w:rsid w:val="00CB2E25"/>
    <w:rsid w:val="00CB3E00"/>
    <w:rsid w:val="00CB4401"/>
    <w:rsid w:val="00CB5C85"/>
    <w:rsid w:val="00CB5D3F"/>
    <w:rsid w:val="00CB76BB"/>
    <w:rsid w:val="00CC2206"/>
    <w:rsid w:val="00CC2373"/>
    <w:rsid w:val="00CC29B7"/>
    <w:rsid w:val="00CC2DA8"/>
    <w:rsid w:val="00CC422B"/>
    <w:rsid w:val="00CC56BA"/>
    <w:rsid w:val="00CC5BE0"/>
    <w:rsid w:val="00CC6182"/>
    <w:rsid w:val="00CC6725"/>
    <w:rsid w:val="00CC71DB"/>
    <w:rsid w:val="00CD070A"/>
    <w:rsid w:val="00CD20B9"/>
    <w:rsid w:val="00CD20C5"/>
    <w:rsid w:val="00CD2D77"/>
    <w:rsid w:val="00CD4178"/>
    <w:rsid w:val="00CD60B6"/>
    <w:rsid w:val="00CD75AF"/>
    <w:rsid w:val="00CD7905"/>
    <w:rsid w:val="00CD7D78"/>
    <w:rsid w:val="00CE00C2"/>
    <w:rsid w:val="00CE012C"/>
    <w:rsid w:val="00CE07D7"/>
    <w:rsid w:val="00CE1C50"/>
    <w:rsid w:val="00CE350D"/>
    <w:rsid w:val="00CE3A5A"/>
    <w:rsid w:val="00CE3D3B"/>
    <w:rsid w:val="00CE6832"/>
    <w:rsid w:val="00CE6DDD"/>
    <w:rsid w:val="00CE7FF1"/>
    <w:rsid w:val="00CF1CF8"/>
    <w:rsid w:val="00CF24FD"/>
    <w:rsid w:val="00CF3675"/>
    <w:rsid w:val="00CF377B"/>
    <w:rsid w:val="00CF5C09"/>
    <w:rsid w:val="00CF5DE9"/>
    <w:rsid w:val="00CF66C4"/>
    <w:rsid w:val="00CF66C5"/>
    <w:rsid w:val="00CF6ECB"/>
    <w:rsid w:val="00CF7490"/>
    <w:rsid w:val="00D01420"/>
    <w:rsid w:val="00D016A1"/>
    <w:rsid w:val="00D0295B"/>
    <w:rsid w:val="00D03141"/>
    <w:rsid w:val="00D03B83"/>
    <w:rsid w:val="00D0406A"/>
    <w:rsid w:val="00D04655"/>
    <w:rsid w:val="00D04E03"/>
    <w:rsid w:val="00D0504B"/>
    <w:rsid w:val="00D0516A"/>
    <w:rsid w:val="00D0551C"/>
    <w:rsid w:val="00D066B1"/>
    <w:rsid w:val="00D06C38"/>
    <w:rsid w:val="00D07511"/>
    <w:rsid w:val="00D075E4"/>
    <w:rsid w:val="00D10FB0"/>
    <w:rsid w:val="00D11F99"/>
    <w:rsid w:val="00D13610"/>
    <w:rsid w:val="00D136D9"/>
    <w:rsid w:val="00D1394C"/>
    <w:rsid w:val="00D1439D"/>
    <w:rsid w:val="00D151F8"/>
    <w:rsid w:val="00D16D8C"/>
    <w:rsid w:val="00D17A99"/>
    <w:rsid w:val="00D17BE8"/>
    <w:rsid w:val="00D200B5"/>
    <w:rsid w:val="00D20205"/>
    <w:rsid w:val="00D2028C"/>
    <w:rsid w:val="00D218B7"/>
    <w:rsid w:val="00D236A5"/>
    <w:rsid w:val="00D23A7A"/>
    <w:rsid w:val="00D24D06"/>
    <w:rsid w:val="00D255B0"/>
    <w:rsid w:val="00D255BB"/>
    <w:rsid w:val="00D25895"/>
    <w:rsid w:val="00D2779A"/>
    <w:rsid w:val="00D30F77"/>
    <w:rsid w:val="00D32837"/>
    <w:rsid w:val="00D32BF3"/>
    <w:rsid w:val="00D32DEC"/>
    <w:rsid w:val="00D33C3C"/>
    <w:rsid w:val="00D340DC"/>
    <w:rsid w:val="00D3503E"/>
    <w:rsid w:val="00D35B9A"/>
    <w:rsid w:val="00D35E4F"/>
    <w:rsid w:val="00D36B55"/>
    <w:rsid w:val="00D377E2"/>
    <w:rsid w:val="00D37815"/>
    <w:rsid w:val="00D37966"/>
    <w:rsid w:val="00D37AAD"/>
    <w:rsid w:val="00D37AC0"/>
    <w:rsid w:val="00D37B44"/>
    <w:rsid w:val="00D41397"/>
    <w:rsid w:val="00D413F6"/>
    <w:rsid w:val="00D41430"/>
    <w:rsid w:val="00D41BA8"/>
    <w:rsid w:val="00D41BDD"/>
    <w:rsid w:val="00D4281E"/>
    <w:rsid w:val="00D44042"/>
    <w:rsid w:val="00D443F2"/>
    <w:rsid w:val="00D448D8"/>
    <w:rsid w:val="00D450EF"/>
    <w:rsid w:val="00D46990"/>
    <w:rsid w:val="00D478C3"/>
    <w:rsid w:val="00D5132B"/>
    <w:rsid w:val="00D51F3F"/>
    <w:rsid w:val="00D53364"/>
    <w:rsid w:val="00D54FAF"/>
    <w:rsid w:val="00D553B8"/>
    <w:rsid w:val="00D557FE"/>
    <w:rsid w:val="00D60F9F"/>
    <w:rsid w:val="00D61003"/>
    <w:rsid w:val="00D61D59"/>
    <w:rsid w:val="00D621D4"/>
    <w:rsid w:val="00D63AE9"/>
    <w:rsid w:val="00D64B26"/>
    <w:rsid w:val="00D64E6E"/>
    <w:rsid w:val="00D64FA0"/>
    <w:rsid w:val="00D66A89"/>
    <w:rsid w:val="00D6715D"/>
    <w:rsid w:val="00D673DD"/>
    <w:rsid w:val="00D708DA"/>
    <w:rsid w:val="00D70AFA"/>
    <w:rsid w:val="00D721EA"/>
    <w:rsid w:val="00D72B3C"/>
    <w:rsid w:val="00D733BA"/>
    <w:rsid w:val="00D73D23"/>
    <w:rsid w:val="00D74030"/>
    <w:rsid w:val="00D74161"/>
    <w:rsid w:val="00D74FFF"/>
    <w:rsid w:val="00D7508F"/>
    <w:rsid w:val="00D752AD"/>
    <w:rsid w:val="00D75A10"/>
    <w:rsid w:val="00D75BB0"/>
    <w:rsid w:val="00D75FFF"/>
    <w:rsid w:val="00D76CFF"/>
    <w:rsid w:val="00D80960"/>
    <w:rsid w:val="00D81A9F"/>
    <w:rsid w:val="00D81D28"/>
    <w:rsid w:val="00D8204F"/>
    <w:rsid w:val="00D82DED"/>
    <w:rsid w:val="00D83294"/>
    <w:rsid w:val="00D848B7"/>
    <w:rsid w:val="00D848BD"/>
    <w:rsid w:val="00D84F50"/>
    <w:rsid w:val="00D86335"/>
    <w:rsid w:val="00D86D65"/>
    <w:rsid w:val="00D87363"/>
    <w:rsid w:val="00D87AA4"/>
    <w:rsid w:val="00D87BFF"/>
    <w:rsid w:val="00D91104"/>
    <w:rsid w:val="00D923B6"/>
    <w:rsid w:val="00D923E4"/>
    <w:rsid w:val="00D93394"/>
    <w:rsid w:val="00D937A2"/>
    <w:rsid w:val="00D93937"/>
    <w:rsid w:val="00D93B1E"/>
    <w:rsid w:val="00D94348"/>
    <w:rsid w:val="00D949D4"/>
    <w:rsid w:val="00D9681B"/>
    <w:rsid w:val="00D975F0"/>
    <w:rsid w:val="00D97E7D"/>
    <w:rsid w:val="00DA1613"/>
    <w:rsid w:val="00DA1FA0"/>
    <w:rsid w:val="00DA2364"/>
    <w:rsid w:val="00DA26BB"/>
    <w:rsid w:val="00DA3C13"/>
    <w:rsid w:val="00DA423E"/>
    <w:rsid w:val="00DA4875"/>
    <w:rsid w:val="00DA66F6"/>
    <w:rsid w:val="00DA6E94"/>
    <w:rsid w:val="00DA6F1F"/>
    <w:rsid w:val="00DB377E"/>
    <w:rsid w:val="00DB5269"/>
    <w:rsid w:val="00DB662E"/>
    <w:rsid w:val="00DB684C"/>
    <w:rsid w:val="00DB6CA7"/>
    <w:rsid w:val="00DB7842"/>
    <w:rsid w:val="00DC22A6"/>
    <w:rsid w:val="00DC2882"/>
    <w:rsid w:val="00DC2E37"/>
    <w:rsid w:val="00DC37F3"/>
    <w:rsid w:val="00DC380B"/>
    <w:rsid w:val="00DC498A"/>
    <w:rsid w:val="00DC4A60"/>
    <w:rsid w:val="00DC55C4"/>
    <w:rsid w:val="00DC5CDB"/>
    <w:rsid w:val="00DC67B1"/>
    <w:rsid w:val="00DD09B2"/>
    <w:rsid w:val="00DD0DAD"/>
    <w:rsid w:val="00DD0E62"/>
    <w:rsid w:val="00DD0EB4"/>
    <w:rsid w:val="00DD2183"/>
    <w:rsid w:val="00DD3FAB"/>
    <w:rsid w:val="00DD412B"/>
    <w:rsid w:val="00DD5160"/>
    <w:rsid w:val="00DD5259"/>
    <w:rsid w:val="00DD56B3"/>
    <w:rsid w:val="00DD62FE"/>
    <w:rsid w:val="00DD7DA4"/>
    <w:rsid w:val="00DE0186"/>
    <w:rsid w:val="00DE01FC"/>
    <w:rsid w:val="00DE0E8D"/>
    <w:rsid w:val="00DE27C7"/>
    <w:rsid w:val="00DE2E6A"/>
    <w:rsid w:val="00DE39E6"/>
    <w:rsid w:val="00DE3BEC"/>
    <w:rsid w:val="00DE4732"/>
    <w:rsid w:val="00DE4C16"/>
    <w:rsid w:val="00DE4C6D"/>
    <w:rsid w:val="00DE4EB6"/>
    <w:rsid w:val="00DE565A"/>
    <w:rsid w:val="00DF2135"/>
    <w:rsid w:val="00DF2297"/>
    <w:rsid w:val="00DF2F85"/>
    <w:rsid w:val="00DF37C4"/>
    <w:rsid w:val="00DF402C"/>
    <w:rsid w:val="00DF402E"/>
    <w:rsid w:val="00DF513F"/>
    <w:rsid w:val="00DF6495"/>
    <w:rsid w:val="00DF6569"/>
    <w:rsid w:val="00DF76FA"/>
    <w:rsid w:val="00DF7826"/>
    <w:rsid w:val="00DF7DED"/>
    <w:rsid w:val="00E01008"/>
    <w:rsid w:val="00E0119B"/>
    <w:rsid w:val="00E016E5"/>
    <w:rsid w:val="00E01BEA"/>
    <w:rsid w:val="00E022BB"/>
    <w:rsid w:val="00E02DD3"/>
    <w:rsid w:val="00E03749"/>
    <w:rsid w:val="00E03B39"/>
    <w:rsid w:val="00E044E6"/>
    <w:rsid w:val="00E107D7"/>
    <w:rsid w:val="00E1152F"/>
    <w:rsid w:val="00E1207B"/>
    <w:rsid w:val="00E122A4"/>
    <w:rsid w:val="00E12FF5"/>
    <w:rsid w:val="00E13928"/>
    <w:rsid w:val="00E13B8C"/>
    <w:rsid w:val="00E13EFA"/>
    <w:rsid w:val="00E141C5"/>
    <w:rsid w:val="00E14CB0"/>
    <w:rsid w:val="00E15010"/>
    <w:rsid w:val="00E15695"/>
    <w:rsid w:val="00E161C8"/>
    <w:rsid w:val="00E176CE"/>
    <w:rsid w:val="00E176E1"/>
    <w:rsid w:val="00E209DF"/>
    <w:rsid w:val="00E223BB"/>
    <w:rsid w:val="00E2279E"/>
    <w:rsid w:val="00E23019"/>
    <w:rsid w:val="00E25DFD"/>
    <w:rsid w:val="00E267F1"/>
    <w:rsid w:val="00E30237"/>
    <w:rsid w:val="00E31044"/>
    <w:rsid w:val="00E3113C"/>
    <w:rsid w:val="00E31F4F"/>
    <w:rsid w:val="00E34603"/>
    <w:rsid w:val="00E34BB3"/>
    <w:rsid w:val="00E34C1A"/>
    <w:rsid w:val="00E35BD6"/>
    <w:rsid w:val="00E3700F"/>
    <w:rsid w:val="00E374BC"/>
    <w:rsid w:val="00E37B79"/>
    <w:rsid w:val="00E37CDE"/>
    <w:rsid w:val="00E40B71"/>
    <w:rsid w:val="00E41038"/>
    <w:rsid w:val="00E42F4B"/>
    <w:rsid w:val="00E435ED"/>
    <w:rsid w:val="00E44748"/>
    <w:rsid w:val="00E45D57"/>
    <w:rsid w:val="00E467E3"/>
    <w:rsid w:val="00E47568"/>
    <w:rsid w:val="00E47B63"/>
    <w:rsid w:val="00E50725"/>
    <w:rsid w:val="00E5170D"/>
    <w:rsid w:val="00E5234C"/>
    <w:rsid w:val="00E52CE4"/>
    <w:rsid w:val="00E52FFC"/>
    <w:rsid w:val="00E539C2"/>
    <w:rsid w:val="00E55F49"/>
    <w:rsid w:val="00E565EB"/>
    <w:rsid w:val="00E56CD8"/>
    <w:rsid w:val="00E57459"/>
    <w:rsid w:val="00E5757F"/>
    <w:rsid w:val="00E57BAC"/>
    <w:rsid w:val="00E60CDB"/>
    <w:rsid w:val="00E60D43"/>
    <w:rsid w:val="00E6110B"/>
    <w:rsid w:val="00E616DA"/>
    <w:rsid w:val="00E619F3"/>
    <w:rsid w:val="00E62489"/>
    <w:rsid w:val="00E62BA3"/>
    <w:rsid w:val="00E6373B"/>
    <w:rsid w:val="00E65151"/>
    <w:rsid w:val="00E66146"/>
    <w:rsid w:val="00E66B93"/>
    <w:rsid w:val="00E66E6E"/>
    <w:rsid w:val="00E66EE1"/>
    <w:rsid w:val="00E6754D"/>
    <w:rsid w:val="00E705AF"/>
    <w:rsid w:val="00E70BC5"/>
    <w:rsid w:val="00E712F8"/>
    <w:rsid w:val="00E714BA"/>
    <w:rsid w:val="00E71635"/>
    <w:rsid w:val="00E719A0"/>
    <w:rsid w:val="00E72320"/>
    <w:rsid w:val="00E72EB0"/>
    <w:rsid w:val="00E730EC"/>
    <w:rsid w:val="00E75E57"/>
    <w:rsid w:val="00E7654C"/>
    <w:rsid w:val="00E77489"/>
    <w:rsid w:val="00E77768"/>
    <w:rsid w:val="00E80043"/>
    <w:rsid w:val="00E808E4"/>
    <w:rsid w:val="00E819B7"/>
    <w:rsid w:val="00E81CA1"/>
    <w:rsid w:val="00E82380"/>
    <w:rsid w:val="00E82C99"/>
    <w:rsid w:val="00E82F98"/>
    <w:rsid w:val="00E843CB"/>
    <w:rsid w:val="00E844A3"/>
    <w:rsid w:val="00E84BD8"/>
    <w:rsid w:val="00E85E89"/>
    <w:rsid w:val="00E85FD0"/>
    <w:rsid w:val="00E8624C"/>
    <w:rsid w:val="00E8643A"/>
    <w:rsid w:val="00E86545"/>
    <w:rsid w:val="00E878ED"/>
    <w:rsid w:val="00E90618"/>
    <w:rsid w:val="00E90957"/>
    <w:rsid w:val="00E90C7F"/>
    <w:rsid w:val="00E91841"/>
    <w:rsid w:val="00E9266E"/>
    <w:rsid w:val="00E92B2A"/>
    <w:rsid w:val="00E93E1D"/>
    <w:rsid w:val="00E94C1A"/>
    <w:rsid w:val="00E961B1"/>
    <w:rsid w:val="00E96631"/>
    <w:rsid w:val="00E96864"/>
    <w:rsid w:val="00E97EC6"/>
    <w:rsid w:val="00EA0AA7"/>
    <w:rsid w:val="00EA187B"/>
    <w:rsid w:val="00EA1EF5"/>
    <w:rsid w:val="00EA2DD4"/>
    <w:rsid w:val="00EA317C"/>
    <w:rsid w:val="00EA33BB"/>
    <w:rsid w:val="00EA3481"/>
    <w:rsid w:val="00EA3D20"/>
    <w:rsid w:val="00EA3EFB"/>
    <w:rsid w:val="00EA529D"/>
    <w:rsid w:val="00EA5B2D"/>
    <w:rsid w:val="00EA5CA9"/>
    <w:rsid w:val="00EA7604"/>
    <w:rsid w:val="00EB11D2"/>
    <w:rsid w:val="00EB1815"/>
    <w:rsid w:val="00EB1DCA"/>
    <w:rsid w:val="00EB32EB"/>
    <w:rsid w:val="00EB3C97"/>
    <w:rsid w:val="00EB42C5"/>
    <w:rsid w:val="00EB42EE"/>
    <w:rsid w:val="00EB4857"/>
    <w:rsid w:val="00EB51BF"/>
    <w:rsid w:val="00EB60DD"/>
    <w:rsid w:val="00EB75FD"/>
    <w:rsid w:val="00EB77FF"/>
    <w:rsid w:val="00EB7C8F"/>
    <w:rsid w:val="00EB7E9E"/>
    <w:rsid w:val="00EC0D68"/>
    <w:rsid w:val="00EC2898"/>
    <w:rsid w:val="00EC29A4"/>
    <w:rsid w:val="00EC2D69"/>
    <w:rsid w:val="00EC3E26"/>
    <w:rsid w:val="00EC5455"/>
    <w:rsid w:val="00EC5CEC"/>
    <w:rsid w:val="00EC66EA"/>
    <w:rsid w:val="00EC72F4"/>
    <w:rsid w:val="00ED02E9"/>
    <w:rsid w:val="00ED1A27"/>
    <w:rsid w:val="00ED2F7B"/>
    <w:rsid w:val="00ED3557"/>
    <w:rsid w:val="00ED3895"/>
    <w:rsid w:val="00ED3A68"/>
    <w:rsid w:val="00ED3C8D"/>
    <w:rsid w:val="00ED4B9D"/>
    <w:rsid w:val="00ED5069"/>
    <w:rsid w:val="00ED6F42"/>
    <w:rsid w:val="00ED76B7"/>
    <w:rsid w:val="00EE1435"/>
    <w:rsid w:val="00EE3728"/>
    <w:rsid w:val="00EE4380"/>
    <w:rsid w:val="00EE4D9C"/>
    <w:rsid w:val="00EE5190"/>
    <w:rsid w:val="00EE63D6"/>
    <w:rsid w:val="00EE6D53"/>
    <w:rsid w:val="00EE7DE2"/>
    <w:rsid w:val="00EF031C"/>
    <w:rsid w:val="00EF0BC6"/>
    <w:rsid w:val="00EF4198"/>
    <w:rsid w:val="00EF5515"/>
    <w:rsid w:val="00EF61DB"/>
    <w:rsid w:val="00EF64DC"/>
    <w:rsid w:val="00EF6F8C"/>
    <w:rsid w:val="00EF7CC3"/>
    <w:rsid w:val="00F0124E"/>
    <w:rsid w:val="00F0184C"/>
    <w:rsid w:val="00F0199E"/>
    <w:rsid w:val="00F02199"/>
    <w:rsid w:val="00F02F30"/>
    <w:rsid w:val="00F03859"/>
    <w:rsid w:val="00F047C4"/>
    <w:rsid w:val="00F05027"/>
    <w:rsid w:val="00F05056"/>
    <w:rsid w:val="00F053D7"/>
    <w:rsid w:val="00F06ACB"/>
    <w:rsid w:val="00F0737E"/>
    <w:rsid w:val="00F073F8"/>
    <w:rsid w:val="00F0753C"/>
    <w:rsid w:val="00F10186"/>
    <w:rsid w:val="00F10C3D"/>
    <w:rsid w:val="00F1211A"/>
    <w:rsid w:val="00F125FE"/>
    <w:rsid w:val="00F13CF4"/>
    <w:rsid w:val="00F14C4A"/>
    <w:rsid w:val="00F15328"/>
    <w:rsid w:val="00F15B37"/>
    <w:rsid w:val="00F15D01"/>
    <w:rsid w:val="00F16EF6"/>
    <w:rsid w:val="00F171D9"/>
    <w:rsid w:val="00F17328"/>
    <w:rsid w:val="00F17B1D"/>
    <w:rsid w:val="00F207B7"/>
    <w:rsid w:val="00F20C2C"/>
    <w:rsid w:val="00F2202C"/>
    <w:rsid w:val="00F2296F"/>
    <w:rsid w:val="00F23364"/>
    <w:rsid w:val="00F23E19"/>
    <w:rsid w:val="00F23ED2"/>
    <w:rsid w:val="00F24AB8"/>
    <w:rsid w:val="00F24DFD"/>
    <w:rsid w:val="00F25632"/>
    <w:rsid w:val="00F26B16"/>
    <w:rsid w:val="00F26DAD"/>
    <w:rsid w:val="00F3112F"/>
    <w:rsid w:val="00F31BC1"/>
    <w:rsid w:val="00F31CE8"/>
    <w:rsid w:val="00F3269C"/>
    <w:rsid w:val="00F33048"/>
    <w:rsid w:val="00F330B0"/>
    <w:rsid w:val="00F349A6"/>
    <w:rsid w:val="00F35CBC"/>
    <w:rsid w:val="00F35DD2"/>
    <w:rsid w:val="00F375E0"/>
    <w:rsid w:val="00F3787C"/>
    <w:rsid w:val="00F40251"/>
    <w:rsid w:val="00F40A6A"/>
    <w:rsid w:val="00F40B9E"/>
    <w:rsid w:val="00F40C2B"/>
    <w:rsid w:val="00F40D8A"/>
    <w:rsid w:val="00F41673"/>
    <w:rsid w:val="00F42304"/>
    <w:rsid w:val="00F42A4B"/>
    <w:rsid w:val="00F42CC3"/>
    <w:rsid w:val="00F43A24"/>
    <w:rsid w:val="00F44C9F"/>
    <w:rsid w:val="00F4511A"/>
    <w:rsid w:val="00F45A17"/>
    <w:rsid w:val="00F4798B"/>
    <w:rsid w:val="00F47F76"/>
    <w:rsid w:val="00F5092A"/>
    <w:rsid w:val="00F50AC1"/>
    <w:rsid w:val="00F50CC0"/>
    <w:rsid w:val="00F51D47"/>
    <w:rsid w:val="00F53669"/>
    <w:rsid w:val="00F53D61"/>
    <w:rsid w:val="00F56D2D"/>
    <w:rsid w:val="00F57220"/>
    <w:rsid w:val="00F605A3"/>
    <w:rsid w:val="00F6218E"/>
    <w:rsid w:val="00F623E5"/>
    <w:rsid w:val="00F62E45"/>
    <w:rsid w:val="00F641EF"/>
    <w:rsid w:val="00F64790"/>
    <w:rsid w:val="00F6546F"/>
    <w:rsid w:val="00F65FC3"/>
    <w:rsid w:val="00F67618"/>
    <w:rsid w:val="00F67821"/>
    <w:rsid w:val="00F679BF"/>
    <w:rsid w:val="00F70292"/>
    <w:rsid w:val="00F703C8"/>
    <w:rsid w:val="00F70A4B"/>
    <w:rsid w:val="00F7111A"/>
    <w:rsid w:val="00F7125A"/>
    <w:rsid w:val="00F7179C"/>
    <w:rsid w:val="00F74865"/>
    <w:rsid w:val="00F74F11"/>
    <w:rsid w:val="00F74FEC"/>
    <w:rsid w:val="00F751E4"/>
    <w:rsid w:val="00F755B7"/>
    <w:rsid w:val="00F759AE"/>
    <w:rsid w:val="00F77A97"/>
    <w:rsid w:val="00F77B5F"/>
    <w:rsid w:val="00F8007D"/>
    <w:rsid w:val="00F81A31"/>
    <w:rsid w:val="00F81AAB"/>
    <w:rsid w:val="00F8252E"/>
    <w:rsid w:val="00F82A19"/>
    <w:rsid w:val="00F8372D"/>
    <w:rsid w:val="00F83731"/>
    <w:rsid w:val="00F83748"/>
    <w:rsid w:val="00F83A07"/>
    <w:rsid w:val="00F84268"/>
    <w:rsid w:val="00F845A1"/>
    <w:rsid w:val="00F847AB"/>
    <w:rsid w:val="00F84FF9"/>
    <w:rsid w:val="00F85595"/>
    <w:rsid w:val="00F85899"/>
    <w:rsid w:val="00F85E81"/>
    <w:rsid w:val="00F9083B"/>
    <w:rsid w:val="00F90918"/>
    <w:rsid w:val="00F90AF6"/>
    <w:rsid w:val="00F92681"/>
    <w:rsid w:val="00F929D0"/>
    <w:rsid w:val="00F937E8"/>
    <w:rsid w:val="00F94554"/>
    <w:rsid w:val="00F9476C"/>
    <w:rsid w:val="00F970B7"/>
    <w:rsid w:val="00F974B5"/>
    <w:rsid w:val="00F97CB1"/>
    <w:rsid w:val="00F97DD7"/>
    <w:rsid w:val="00FA00F8"/>
    <w:rsid w:val="00FA19ED"/>
    <w:rsid w:val="00FA2865"/>
    <w:rsid w:val="00FA2A41"/>
    <w:rsid w:val="00FA2E0F"/>
    <w:rsid w:val="00FA3563"/>
    <w:rsid w:val="00FA3B59"/>
    <w:rsid w:val="00FA42C6"/>
    <w:rsid w:val="00FA531B"/>
    <w:rsid w:val="00FA5B8D"/>
    <w:rsid w:val="00FA6286"/>
    <w:rsid w:val="00FA6611"/>
    <w:rsid w:val="00FA691A"/>
    <w:rsid w:val="00FB3831"/>
    <w:rsid w:val="00FB3DE0"/>
    <w:rsid w:val="00FB60A3"/>
    <w:rsid w:val="00FB69C6"/>
    <w:rsid w:val="00FB6A9E"/>
    <w:rsid w:val="00FB73D4"/>
    <w:rsid w:val="00FC05F0"/>
    <w:rsid w:val="00FC0B31"/>
    <w:rsid w:val="00FC19B0"/>
    <w:rsid w:val="00FC246D"/>
    <w:rsid w:val="00FC2E9C"/>
    <w:rsid w:val="00FC3571"/>
    <w:rsid w:val="00FC3C82"/>
    <w:rsid w:val="00FC50E7"/>
    <w:rsid w:val="00FC5102"/>
    <w:rsid w:val="00FC5B4C"/>
    <w:rsid w:val="00FC5B88"/>
    <w:rsid w:val="00FC6CF4"/>
    <w:rsid w:val="00FC716D"/>
    <w:rsid w:val="00FD00FB"/>
    <w:rsid w:val="00FD09C1"/>
    <w:rsid w:val="00FD17A5"/>
    <w:rsid w:val="00FD25DC"/>
    <w:rsid w:val="00FD27DF"/>
    <w:rsid w:val="00FD3115"/>
    <w:rsid w:val="00FD458E"/>
    <w:rsid w:val="00FD7282"/>
    <w:rsid w:val="00FD7529"/>
    <w:rsid w:val="00FD7E00"/>
    <w:rsid w:val="00FE03D5"/>
    <w:rsid w:val="00FE09CF"/>
    <w:rsid w:val="00FE20AB"/>
    <w:rsid w:val="00FE44A7"/>
    <w:rsid w:val="00FE4A72"/>
    <w:rsid w:val="00FE4B5A"/>
    <w:rsid w:val="00FE5F05"/>
    <w:rsid w:val="00FE6EB9"/>
    <w:rsid w:val="00FE729F"/>
    <w:rsid w:val="00FE7677"/>
    <w:rsid w:val="00FE7F80"/>
    <w:rsid w:val="00FF0339"/>
    <w:rsid w:val="00FF03FE"/>
    <w:rsid w:val="00FF070A"/>
    <w:rsid w:val="00FF11DD"/>
    <w:rsid w:val="00FF17BF"/>
    <w:rsid w:val="00FF22BA"/>
    <w:rsid w:val="00FF350F"/>
    <w:rsid w:val="00FF39C4"/>
    <w:rsid w:val="00FF4367"/>
    <w:rsid w:val="00FF439B"/>
    <w:rsid w:val="00FF4CD8"/>
    <w:rsid w:val="00FF5137"/>
    <w:rsid w:val="00FF5A13"/>
    <w:rsid w:val="00FF64A1"/>
    <w:rsid w:val="00FF65A1"/>
    <w:rsid w:val="00FF6C15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95A9"/>
  <w15:chartTrackingRefBased/>
  <w15:docId w15:val="{1093671A-2821-4536-8167-C478D7D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40D"/>
    <w:pPr>
      <w:ind w:left="720"/>
      <w:contextualSpacing/>
    </w:pPr>
  </w:style>
  <w:style w:type="table" w:styleId="TableGrid">
    <w:name w:val="Table Grid"/>
    <w:basedOn w:val="TableNormal"/>
    <w:uiPriority w:val="39"/>
    <w:rsid w:val="0049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42F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6D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6D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6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B009-0B8D-42A3-B36E-36C980C8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6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Disselkoen</dc:creator>
  <cp:keywords/>
  <dc:description/>
  <cp:lastModifiedBy>Craig Disselkoen</cp:lastModifiedBy>
  <cp:revision>24</cp:revision>
  <dcterms:created xsi:type="dcterms:W3CDTF">2016-02-01T21:27:00Z</dcterms:created>
  <dcterms:modified xsi:type="dcterms:W3CDTF">2016-02-04T17:29:00Z</dcterms:modified>
</cp:coreProperties>
</file>