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Doreen</w:t>
      </w:r>
      <w:r>
        <w:t xml:space="preserve"> </w:t>
      </w:r>
      <w:r>
        <w:t xml:space="preserve">Kibuule</w:t>
      </w:r>
      <w:r>
        <w:t xml:space="preserve"> </w:t>
      </w:r>
      <w:r>
        <w:t xml:space="preserve">Kalembe</w:t>
      </w:r>
    </w:p>
    <w:p>
      <w:pPr>
        <w:pStyle w:val="FirstParagraph"/>
      </w:pPr>
      <w:r>
        <w:t xml:space="preserve">The structure below is one possible setup for a manuscript, or a general data analysis project (including the course project).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4.4.2</w:t>
      </w:r>
    </w:p>
    <w:p>
      <w:pPr>
        <w:pStyle w:val="FirstParagraph"/>
      </w:pPr>
      <w:r>
        <w:rPr>
          <w:bCs/>
          <w:b/>
        </w:rPr>
        <w:t xml:space="preserve">Authors</w:t>
      </w:r>
    </w:p>
    <w:p>
      <w:pPr>
        <w:numPr>
          <w:ilvl w:val="0"/>
          <w:numId w:val="1001"/>
        </w:numPr>
        <w:pStyle w:val="Compact"/>
      </w:pPr>
      <w:r>
        <w:t xml:space="preserve">First Autor</w:t>
      </w:r>
      <m:oMath>
        <m:sSup>
          <m:e>
            <m:r>
              <m:t>​</m:t>
            </m:r>
          </m:e>
          <m:sup>
            <m:r>
              <m:t>1</m:t>
            </m:r>
            <m:r>
              <m:rPr>
                <m:sty m:val="p"/>
              </m:rPr>
              <m:t>,</m:t>
            </m:r>
            <m:r>
              <m:t>2</m:t>
            </m:r>
            <m:r>
              <m:rPr>
                <m:sty m:val="p"/>
              </m:rPr>
              <m:t>,</m:t>
            </m:r>
            <m:r>
              <m:rPr>
                <m:sty m:val="p"/>
              </m:rPr>
              <m:t>*</m:t>
            </m:r>
          </m:sup>
        </m:sSup>
      </m:oMath>
      <w:r>
        <w:t xml:space="preserve"> </w:t>
      </w:r>
      <w:r>
        <w:t xml:space="preserve">(ORCID: 0000-0000-1234-5678)</w:t>
      </w:r>
    </w:p>
    <w:p>
      <w:pPr>
        <w:numPr>
          <w:ilvl w:val="0"/>
          <w:numId w:val="1001"/>
        </w:numPr>
        <w:pStyle w:val="Compact"/>
      </w:pPr>
      <w:r>
        <w:t xml:space="preserve">Second Author</w:t>
      </w:r>
      <m:oMath>
        <m:sSup>
          <m:e>
            <m:r>
              <m:t>​</m:t>
            </m:r>
          </m:e>
          <m:sup>
            <m:r>
              <m:t>3</m:t>
            </m:r>
            <m:r>
              <m:rPr>
                <m:sty m:val="p"/>
              </m:rPr>
              <m:t>,</m:t>
            </m:r>
            <m:r>
              <m:rPr>
                <m:sty m:val="p"/>
              </m:rPr>
              <m:t>*</m:t>
            </m:r>
          </m:sup>
        </m:sSup>
      </m:oMath>
    </w:p>
    <w:p>
      <w:pPr>
        <w:numPr>
          <w:ilvl w:val="0"/>
          <w:numId w:val="1001"/>
        </w:numPr>
        <w:pStyle w:val="Compact"/>
      </w:pPr>
      <w:r>
        <w:t xml:space="preserve">Third Autor</w:t>
      </w:r>
      <m:oMath>
        <m:sSup>
          <m:e>
            <m:r>
              <m:t>​</m:t>
            </m:r>
          </m:e>
          <m:sup>
            <m:r>
              <m:t>3</m:t>
            </m:r>
            <m:r>
              <m:rPr>
                <m:sty m:val="p"/>
              </m:rPr>
              <m:t>,</m:t>
            </m:r>
            <m:r>
              <m:rPr>
                <m:sty m:val="p"/>
              </m:rPr>
              <m:t>†</m:t>
            </m:r>
          </m:sup>
        </m:sSup>
      </m:oMath>
    </w:p>
    <w:p>
      <w:pPr>
        <w:numPr>
          <w:ilvl w:val="0"/>
          <w:numId w:val="1001"/>
        </w:numPr>
        <w:pStyle w:val="Compact"/>
      </w:pPr>
      <w:r>
        <w:t xml:space="preserve">Last Author</w:t>
      </w:r>
      <m:oMath>
        <m:sSup>
          <m:e>
            <m:r>
              <m:t>​</m:t>
            </m:r>
          </m:e>
          <m:sup>
            <m:r>
              <m:t>1</m:t>
            </m:r>
            <m:r>
              <m:rPr>
                <m:sty m:val="p"/>
              </m:rPr>
              <m:t>,</m:t>
            </m:r>
            <m:r>
              <m:t>2</m:t>
            </m:r>
            <m:r>
              <m:rPr>
                <m:sty m:val="p"/>
              </m:rPr>
              <m:t>,</m:t>
            </m:r>
            <m:r>
              <m:rPr>
                <m:sty m:val="p"/>
              </m:rPr>
              <m:t>∧</m:t>
            </m:r>
          </m:sup>
        </m:sSup>
      </m:oMath>
    </w:p>
    <w:p>
      <w:pPr>
        <w:pStyle w:val="FirstParagraph"/>
      </w:pPr>
      <w:r>
        <w:rPr>
          <w:bCs/>
          <w:b/>
        </w:rPr>
        <w:t xml:space="preserve">Author affiliations</w:t>
      </w:r>
    </w:p>
    <w:p>
      <w:pPr>
        <w:numPr>
          <w:ilvl w:val="0"/>
          <w:numId w:val="1002"/>
        </w:numPr>
        <w:pStyle w:val="Compact"/>
      </w:pPr>
      <w:r>
        <w:t xml:space="preserve">College of Public Health, University of Georgia, Athens, GA, USA.</w:t>
      </w:r>
    </w:p>
    <w:p>
      <w:pPr>
        <w:numPr>
          <w:ilvl w:val="0"/>
          <w:numId w:val="1002"/>
        </w:numPr>
        <w:pStyle w:val="Compact"/>
      </w:pPr>
      <w:r>
        <w:t xml:space="preserve">Another Affiliation, Athens, GA, USA.</w:t>
      </w:r>
    </w:p>
    <w:p>
      <w:pPr>
        <w:numPr>
          <w:ilvl w:val="0"/>
          <w:numId w:val="1002"/>
        </w:numPr>
        <w:pStyle w:val="Compact"/>
      </w:pPr>
      <w:r>
        <w:t xml:space="preserve">Yet another Affiliation.</w:t>
      </w:r>
    </w:p>
    <w:p>
      <w:pPr>
        <w:pStyle w:val="FirstParagraph"/>
      </w:pPr>
      <m:oMath>
        <m:r>
          <m:rPr>
            <m:sty m:val="p"/>
          </m:rPr>
          <m:t>*</m:t>
        </m:r>
      </m:oMath>
      <w:r>
        <w:t xml:space="preserve"> </w:t>
      </w:r>
      <w:r>
        <w:t xml:space="preserve">These authors contributed equally to this work.</w:t>
      </w:r>
    </w:p>
    <w:p>
      <w:pPr>
        <w:pStyle w:val="BodyText"/>
      </w:pPr>
      <m:oMath>
        <m:r>
          <m:rPr>
            <m:sty m:val="p"/>
          </m:rPr>
          <m:t>∧</m:t>
        </m:r>
      </m:oMath>
      <w:r>
        <w:t xml:space="preserve"> </w:t>
      </w:r>
      <w:r>
        <w:t xml:space="preserve">Corresponding author: some@email.com</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w:t>
      </w:r>
    </w:p>
    <w:p>
      <w:r>
        <w:br w:type="page"/>
      </w:r>
    </w:p>
    <w:bookmarkStart w:id="22" w:name="summaryabstract"/>
    <w:p>
      <w:pPr>
        <w:pStyle w:val="Heading1"/>
      </w:pPr>
      <w:r>
        <w:t xml:space="preserve">1. Summary/Abstract</w:t>
      </w:r>
    </w:p>
    <w:p>
      <w:pPr>
        <w:pStyle w:val="FirstParagraph"/>
      </w:pPr>
      <w:r>
        <w:rPr>
          <w:iCs/>
          <w:i/>
        </w:rPr>
        <w:t xml:space="preserve">Write a summary of your project.</w:t>
      </w:r>
      <w:r>
        <w:t xml:space="preserve"> </w:t>
      </w:r>
      <w:r>
        <w:t xml:space="preserve">MADA PROJECT PART 1:</w:t>
      </w:r>
    </w:p>
    <w:p>
      <w:pPr>
        <w:pStyle w:val="BodyText"/>
      </w:pPr>
      <w:r>
        <w:t xml:space="preserve">TITLE: Sex-based analysis/Differences in TB Immune Activation.</w:t>
      </w:r>
    </w:p>
    <w:p>
      <w:pPr>
        <w:pStyle w:val="BodyText"/>
      </w:pPr>
      <w:r>
        <w:t xml:space="preserve">This project is aimed at looking at the differences in the Tuberculosis immune activation between males and females.( Sex-based analysis/Differences in TB Immune Activation</w:t>
      </w:r>
      <w:r>
        <w:t xml:space="preserve"> </w:t>
      </w:r>
      <w:r>
        <w:t xml:space="preserve">Research Question)</w:t>
      </w:r>
    </w:p>
    <w:p>
      <w:pPr>
        <w:pStyle w:val="BodyText"/>
      </w:pPr>
      <w:r>
        <w:t xml:space="preserve">we shall use data from a tuberculosis public repository.</w:t>
      </w:r>
      <w:r>
        <w:t xml:space="preserve"> </w:t>
      </w:r>
      <w:r>
        <w:t xml:space="preserve">• Data source: Tidyverse</w:t>
      </w:r>
      <w:r>
        <w:t xml:space="preserve"> </w:t>
      </w:r>
      <w:r>
        <w:t xml:space="preserve">https://dataverse.unc.edu/dataset.xhtml?persistentId=doi:10.15139/S3/AYOFEU</w:t>
      </w:r>
      <w:r>
        <w:t xml:space="preserve"> </w:t>
      </w:r>
      <w:r>
        <w:t xml:space="preserve">with a Sample size of 60 individuals. The data includes 60 different individual that accepted to take part in the study.</w:t>
      </w:r>
    </w:p>
    <w:p>
      <w:pPr>
        <w:pStyle w:val="BodyText"/>
      </w:pPr>
      <w:r>
        <w:t xml:space="preserve">The key variables that we shall look at are;</w:t>
      </w:r>
    </w:p>
    <w:p>
      <w:pPr>
        <w:pStyle w:val="BodyText"/>
      </w:pPr>
      <w:r>
        <w:t xml:space="preserve">Key variables:</w:t>
      </w:r>
      <w:r>
        <w:t xml:space="preserve"> </w:t>
      </w:r>
      <w:r>
        <w:t xml:space="preserve">- CD4 Immune activation count</w:t>
      </w:r>
      <w:r>
        <w:t xml:space="preserve"> </w:t>
      </w:r>
      <w:r>
        <w:t xml:space="preserve">- Disease severity indicators(Extent of lung disease andNumber of lungs involved)</w:t>
      </w:r>
      <w:r>
        <w:t xml:space="preserve"> </w:t>
      </w:r>
      <w:r>
        <w:t xml:space="preserve">-Fat in kgs</w:t>
      </w:r>
      <w:r>
        <w:t xml:space="preserve"> </w:t>
      </w:r>
      <w:r>
        <w:t xml:space="preserve">- Sex/Gender</w:t>
      </w:r>
      <w:r>
        <w:t xml:space="preserve"> </w:t>
      </w:r>
      <w:r>
        <w:t xml:space="preserve">- BMI</w:t>
      </w:r>
      <w:r>
        <w:t xml:space="preserve"> </w:t>
      </w:r>
      <w:r>
        <w:t xml:space="preserve">- Age of the participant</w:t>
      </w:r>
    </w:p>
    <w:p>
      <w:pPr>
        <w:pStyle w:val="SourceCode"/>
      </w:pPr>
      <w:r>
        <w:rPr>
          <w:rStyle w:val="CommentTok"/>
        </w:rPr>
        <w:t xml:space="preserve">#load packages</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"readr"</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Warning: package 'tidyverse' was built under R version 4.4.2</w:t>
      </w:r>
    </w:p>
    <w:p>
      <w:pPr>
        <w:pStyle w:val="SourceCode"/>
      </w:pPr>
      <w:r>
        <w:rPr>
          <w:rStyle w:val="VerbatimChar"/>
        </w:rPr>
        <w:t xml:space="preserve">Warning: package 'stringr' was built under R version 4.4.2</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1.9.3     ✔ tibble    3.2.1</w:t>
      </w:r>
      <w:r>
        <w:br/>
      </w:r>
      <w:r>
        <w:rPr>
          <w:rStyle w:val="VerbatimChar"/>
        </w:rPr>
        <w:t xml:space="preserve">✔ purrr     1.0.2     ✔ tidyr     1.3.1</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w:t>
      </w:r>
      <w:r>
        <w:rPr>
          <w:rStyle w:val="StringTok"/>
        </w:rPr>
        <w:t xml:space="preserve">"here"</w:t>
      </w:r>
      <w:r>
        <w:rPr>
          <w:rStyle w:val="NormalTok"/>
        </w:rPr>
        <w:t xml:space="preserve">)</w:t>
      </w:r>
      <w:r>
        <w:br/>
      </w:r>
      <w:r>
        <w:br/>
      </w:r>
      <w:r>
        <w:rPr>
          <w:rStyle w:val="CommentTok"/>
        </w:rPr>
        <w:t xml:space="preserve"># follow through with the code folder to see the #variables in the data and how i selected the #variables make this data set. </w:t>
      </w:r>
      <w:r>
        <w:br/>
      </w:r>
      <w:r>
        <w:rPr>
          <w:rStyle w:val="CommentTok"/>
        </w:rPr>
        <w:t xml:space="preserve">#location of the data</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w:t>
      </w:r>
      <w:r>
        <w:rPr>
          <w:rStyle w:val="StringTok"/>
        </w:rPr>
        <w:t xml:space="preserve">"Tb_immune_data.rds"</w:t>
      </w:r>
      <w:r>
        <w:rPr>
          <w:rStyle w:val="NormalTok"/>
        </w:rPr>
        <w:t xml:space="preserve">)</w:t>
      </w:r>
      <w:r>
        <w:br/>
      </w:r>
      <w:r>
        <w:br/>
      </w:r>
      <w:r>
        <w:rPr>
          <w:rStyle w:val="CommentTok"/>
        </w:rPr>
        <w:t xml:space="preserve">#loading the data</w:t>
      </w:r>
      <w:r>
        <w:br/>
      </w:r>
      <w:r>
        <w:rPr>
          <w:rStyle w:val="NormalTok"/>
        </w:rPr>
        <w:t xml:space="preserve">data</w:t>
      </w:r>
      <w:r>
        <w:rPr>
          <w:rStyle w:val="OtherTok"/>
        </w:rPr>
        <w:t xml:space="preserve">&lt;-</w:t>
      </w:r>
      <w:r>
        <w:rPr>
          <w:rStyle w:val="NormalTok"/>
        </w:rPr>
        <w:t xml:space="preserve"> </w:t>
      </w:r>
      <w:r>
        <w:rPr>
          <w:rStyle w:val="FunctionTok"/>
        </w:rPr>
        <w:t xml:space="preserve">read_rds</w:t>
      </w:r>
      <w:r>
        <w:rPr>
          <w:rStyle w:val="NormalTok"/>
        </w:rPr>
        <w:t xml:space="preserve">(data_location)</w:t>
      </w:r>
      <w:r>
        <w:br/>
      </w:r>
      <w:r>
        <w:br/>
      </w:r>
      <w:r>
        <w:rPr>
          <w:rStyle w:val="CommentTok"/>
        </w:rPr>
        <w:t xml:space="preserve">#summary of the data</w:t>
      </w:r>
      <w:r>
        <w:br/>
      </w:r>
      <w:r>
        <w:rPr>
          <w:rStyle w:val="FunctionTok"/>
        </w:rPr>
        <w:t xml:space="preserve">summary</w:t>
      </w:r>
      <w:r>
        <w:rPr>
          <w:rStyle w:val="NormalTok"/>
        </w:rPr>
        <w:t xml:space="preserve">(data)</w:t>
      </w:r>
    </w:p>
    <w:p>
      <w:pPr>
        <w:pStyle w:val="SourceCode"/>
      </w:pPr>
      <w:r>
        <w:rPr>
          <w:rStyle w:val="VerbatimChar"/>
        </w:rPr>
        <w:t xml:space="preserve">       ID            Sex            Participant age      BMI       </w:t>
      </w:r>
      <w:r>
        <w:br/>
      </w:r>
      <w:r>
        <w:rPr>
          <w:rStyle w:val="VerbatimChar"/>
        </w:rPr>
        <w:t xml:space="preserve"> Min.   :50004   Length:61          Min.   :17.00   Min.   :15.55  </w:t>
      </w:r>
      <w:r>
        <w:br/>
      </w:r>
      <w:r>
        <w:rPr>
          <w:rStyle w:val="VerbatimChar"/>
        </w:rPr>
        <w:t xml:space="preserve"> 1st Qu.:50020   Class :character   1st Qu.:23.00   1st Qu.:18.09  </w:t>
      </w:r>
      <w:r>
        <w:br/>
      </w:r>
      <w:r>
        <w:rPr>
          <w:rStyle w:val="VerbatimChar"/>
        </w:rPr>
        <w:t xml:space="preserve"> Median :50035   Mode  :character   Median :28.00   Median :19.25  </w:t>
      </w:r>
      <w:r>
        <w:br/>
      </w:r>
      <w:r>
        <w:rPr>
          <w:rStyle w:val="VerbatimChar"/>
        </w:rPr>
        <w:t xml:space="preserve"> Mean   :50035                      Mean   :30.02   Mean   :19.83  </w:t>
      </w:r>
      <w:r>
        <w:br/>
      </w:r>
      <w:r>
        <w:rPr>
          <w:rStyle w:val="VerbatimChar"/>
        </w:rPr>
        <w:t xml:space="preserve"> 3rd Qu.:50050                      3rd Qu.:35.00   3rd Qu.:21.47  </w:t>
      </w:r>
      <w:r>
        <w:br/>
      </w:r>
      <w:r>
        <w:rPr>
          <w:rStyle w:val="VerbatimChar"/>
        </w:rPr>
        <w:t xml:space="preserve"> Max.   :50067                      Max.   :70.00   Max.   :28.15  </w:t>
      </w:r>
      <w:r>
        <w:br/>
      </w:r>
      <w:r>
        <w:rPr>
          <w:rStyle w:val="VerbatimChar"/>
        </w:rPr>
        <w:t xml:space="preserve">                                    NA's   :1       NA's   :1      </w:t>
      </w:r>
      <w:r>
        <w:br/>
      </w:r>
      <w:r>
        <w:rPr>
          <w:rStyle w:val="VerbatimChar"/>
        </w:rPr>
        <w:t xml:space="preserve">      Dose         Fat in kg            CD4+        </w:t>
      </w:r>
      <w:r>
        <w:br/>
      </w:r>
      <w:r>
        <w:rPr>
          <w:rStyle w:val="VerbatimChar"/>
        </w:rPr>
        <w:t xml:space="preserve"> Min.   :29.61   Min.   :-96.640   Min.   :  8.636  </w:t>
      </w:r>
      <w:r>
        <w:br/>
      </w:r>
      <w:r>
        <w:rPr>
          <w:rStyle w:val="VerbatimChar"/>
        </w:rPr>
        <w:t xml:space="preserve"> 1st Qu.:29.99   1st Qu.:  3.554   1st Qu.:185.006  </w:t>
      </w:r>
      <w:r>
        <w:br/>
      </w:r>
      <w:r>
        <w:rPr>
          <w:rStyle w:val="VerbatimChar"/>
        </w:rPr>
        <w:t xml:space="preserve"> Median :30.00   Median :  8.704   Median :317.941  </w:t>
      </w:r>
      <w:r>
        <w:br/>
      </w:r>
      <w:r>
        <w:rPr>
          <w:rStyle w:val="VerbatimChar"/>
        </w:rPr>
        <w:t xml:space="preserve"> Mean   :29.99   Mean   :  9.615   Mean   :337.364  </w:t>
      </w:r>
      <w:r>
        <w:br/>
      </w:r>
      <w:r>
        <w:rPr>
          <w:rStyle w:val="VerbatimChar"/>
        </w:rPr>
        <w:t xml:space="preserve"> 3rd Qu.:30.00   3rd Qu.: 13.364   3rd Qu.:484.889  </w:t>
      </w:r>
      <w:r>
        <w:br/>
      </w:r>
      <w:r>
        <w:rPr>
          <w:rStyle w:val="VerbatimChar"/>
        </w:rPr>
        <w:t xml:space="preserve"> Max.   :30.15   Max.   : 80.979   Max.   :785.896  </w:t>
      </w:r>
      <w:r>
        <w:br/>
      </w:r>
      <w:r>
        <w:rPr>
          <w:rStyle w:val="VerbatimChar"/>
        </w:rPr>
        <w:t xml:space="preserve"> NA's   :1       NA's   :1         NA's   :1        </w:t>
      </w:r>
      <w:r>
        <w:br/>
      </w:r>
      <w:r>
        <w:rPr>
          <w:rStyle w:val="VerbatimChar"/>
        </w:rPr>
        <w:t xml:space="preserve"> CD4 Immune activation count</w:t>
      </w:r>
      <w:r>
        <w:br/>
      </w:r>
      <w:r>
        <w:rPr>
          <w:rStyle w:val="VerbatimChar"/>
        </w:rPr>
        <w:t xml:space="preserve"> Min.   :   84.0            </w:t>
      </w:r>
      <w:r>
        <w:br/>
      </w:r>
      <w:r>
        <w:rPr>
          <w:rStyle w:val="VerbatimChar"/>
        </w:rPr>
        <w:t xml:space="preserve"> 1st Qu.:  914.8            </w:t>
      </w:r>
      <w:r>
        <w:br/>
      </w:r>
      <w:r>
        <w:rPr>
          <w:rStyle w:val="VerbatimChar"/>
        </w:rPr>
        <w:t xml:space="preserve"> Median : 1384.5            </w:t>
      </w:r>
      <w:r>
        <w:br/>
      </w:r>
      <w:r>
        <w:rPr>
          <w:rStyle w:val="VerbatimChar"/>
        </w:rPr>
        <w:t xml:space="preserve"> Mean   : 1948.1            </w:t>
      </w:r>
      <w:r>
        <w:br/>
      </w:r>
      <w:r>
        <w:rPr>
          <w:rStyle w:val="VerbatimChar"/>
        </w:rPr>
        <w:t xml:space="preserve"> 3rd Qu.: 2057.5            </w:t>
      </w:r>
      <w:r>
        <w:br/>
      </w:r>
      <w:r>
        <w:rPr>
          <w:rStyle w:val="VerbatimChar"/>
        </w:rPr>
        <w:t xml:space="preserve"> Max.   :17872.0            </w:t>
      </w:r>
      <w:r>
        <w:br/>
      </w:r>
      <w:r>
        <w:rPr>
          <w:rStyle w:val="VerbatimChar"/>
        </w:rPr>
        <w:t xml:space="preserve"> NA's   :1                  </w:t>
      </w:r>
    </w:p>
    <w:p>
      <w:pPr>
        <w:pStyle w:val="FirstParagraph"/>
      </w:pPr>
      <w:r>
        <w:t xml:space="preserve">Proposed Analysis Method</w:t>
      </w:r>
    </w:p>
    <w:p>
      <w:pPr>
        <w:pStyle w:val="BodyText"/>
      </w:pPr>
      <w:r>
        <w:t xml:space="preserve">• Compare immune activation levels between males and females</w:t>
      </w:r>
    </w:p>
    <w:p>
      <w:pPr>
        <w:pStyle w:val="BodyText"/>
      </w:pPr>
      <w:r>
        <w:t xml:space="preserve">• Correlate immune markers with disease severity measures/Correlation between activation levels and disease severity</w:t>
      </w:r>
    </w:p>
    <w:p>
      <w:pPr>
        <w:pStyle w:val="BodyText"/>
      </w:pPr>
      <w:r>
        <w:t xml:space="preserve">• Use linear regression to analyze relationships between variables</w:t>
      </w:r>
    </w:p>
    <w:p>
      <w:pPr>
        <w:pStyle w:val="BodyText"/>
      </w:pPr>
      <w:r>
        <w:t xml:space="preserve">• Control for potential confounding factors</w:t>
      </w:r>
    </w:p>
    <w:p>
      <w:pPr>
        <w:pStyle w:val="BodyText"/>
      </w:pPr>
      <w:r>
        <w:t xml:space="preserve">These are some of our Expected Outcomes.</w:t>
      </w:r>
    </w:p>
    <w:p>
      <w:pPr>
        <w:pStyle w:val="BodyText"/>
      </w:pPr>
      <w:r>
        <w:t xml:space="preserve">• Check and Identify any sex-based differences in immune response.</w:t>
      </w:r>
    </w:p>
    <w:p>
      <w:pPr>
        <w:pStyle w:val="BodyText"/>
      </w:pPr>
      <w:r>
        <w:t xml:space="preserve">• Quantify the relationship between immune activation and disease severity.</w:t>
      </w:r>
    </w:p>
    <w:p>
      <w:pPr>
        <w:pStyle w:val="BodyText"/>
      </w:pPr>
      <w:r>
        <w:t xml:space="preserve">• Propose any insights for sex-specific treatment approaches</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(1,2)</w:t>
      </w:r>
      <w:r>
        <w:t xml:space="preserve">.</w:t>
      </w:r>
    </w:p>
    <w:p>
      <w:r>
        <w:br w:type="page"/>
      </w:r>
    </w:p>
    <w:bookmarkEnd w:id="25"/>
    <w:bookmarkEnd w:id="26"/>
    <w:bookmarkStart w:id="35"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ook w:firstRow="0" w:lastRow="0" w:firstColumn="0" w:lastColumn="0" w:noHBand="0" w:noVBand="0" w:val="0000"/>
        <w:jc w:val="start"/>
        <w:tblLayout w:type="fixed"/>
      </w:tblPr>
      <w:tblGrid>
        <w:gridCol w:w="7920"/>
      </w:tblGrid>
      <w:tr>
        <w:tc>
          <w:tcPr/>
          <w:bookmarkStart w:id="30" w:name="fig-schematic"/>
          <w:p>
            <w:pPr>
              <w:pStyle w:val="Compact"/>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2"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2"/>
    <w:bookmarkStart w:id="33" w:name="data-import-and-cleaning"/>
    <w:p>
      <w:pPr>
        <w:pStyle w:val="Heading2"/>
      </w:pPr>
      <w:r>
        <w:t xml:space="preserve">3.3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3"/>
    <w:bookmarkStart w:id="34"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34"/>
    <w:bookmarkEnd w:id="35"/>
    <w:bookmarkStart w:id="45" w:name="results"/>
    <w:p>
      <w:pPr>
        <w:pStyle w:val="Heading1"/>
      </w:pPr>
      <w:r>
        <w:t xml:space="preserve">4. Results</w:t>
      </w:r>
    </w:p>
    <w:bookmarkStart w:id="37"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ook w:firstRow="0" w:lastRow="0" w:firstColumn="0" w:lastColumn="0" w:noHBand="0" w:noVBand="0" w:val="0000"/>
        <w:jc w:val="start"/>
        <w:tblLayout w:type="fixed"/>
      </w:tblPr>
      <w:tblGrid>
        <w:gridCol w:w="7920"/>
      </w:tblGrid>
      <w:tr>
        <w:tc>
          <w:tcPr/>
          <w:bookmarkStart w:id="36" w:name="tbl-summarytable"/>
          <w:p>
            <w:pPr>
              <w:jc w:val="center"/>
            </w:pPr>
            <w:pPr>
              <w:jc w:val="start"/>
              <w:spacing w:before="200"/>
              <w:pStyle w:val="ImageCaption"/>
            </w:pPr>
            <w:r>
              <w:t xml:space="preserve">Table 1: Data summary table.</w:t>
            </w:r>
          </w:p>
          <w:tbl>
            <w:tblPr>
              <w:tblStyle w:val="Table"/>
              <w:tblW w:type="pct" w:w="5000"/>
              <w:tblLook w:firstRow="1" w:lastRow="0" w:firstColumn="0" w:lastColumn="0" w:noHBand="0" w:noVBand="0" w:val="0020"/>
              <w:jc w:val="start"/>
              <w:tblLayout w:type="fixed"/>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6"/>
          <w:p/>
        </w:tc>
      </w:tr>
    </w:tbl>
    <w:bookmarkEnd w:id="37"/>
    <w:bookmarkStart w:id="42"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ook w:firstRow="0" w:lastRow="0" w:firstColumn="0" w:lastColumn="0" w:noHBand="0" w:noVBand="0" w:val="0000"/>
        <w:jc w:val="start"/>
        <w:tblLayout w:type="fixed"/>
      </w:tblPr>
      <w:tblGrid>
        <w:gridCol w:w="7920"/>
      </w:tblGrid>
      <w:tr>
        <w:tc>
          <w:tcPr/>
          <w:bookmarkStart w:id="41" w:name="fig-result"/>
          <w:p>
            <w:pPr>
              <w:pStyle w:val="Compact"/>
              <w:jc w:val="center"/>
            </w:pPr>
            <w:r>
              <w:drawing>
                <wp:inline>
                  <wp:extent cx="5334000" cy="2701322"/>
                  <wp:effectExtent b="0" l="0" r="0" t="0"/>
                  <wp:docPr descr="" title="" id="39" name="Picture"/>
                  <a:graphic>
                    <a:graphicData uri="http://schemas.openxmlformats.org/drawingml/2006/picture">
                      <pic:pic>
                        <pic:nvPicPr>
                          <pic:cNvPr descr="../../results/figures/height-weight-stratified.png" id="40" name="Picture"/>
                          <pic:cNvPicPr>
                            <a:picLocks noChangeArrowheads="1" noChangeAspect="1"/>
                          </pic:cNvPicPr>
                        </pic:nvPicPr>
                        <pic:blipFill>
                          <a:blip r:embed="rId3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1"/>
        </w:tc>
      </w:tr>
    </w:tbl>
    <w:bookmarkEnd w:id="42"/>
    <w:bookmarkStart w:id="44"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43"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3"/>
          <w:p/>
        </w:tc>
      </w:tr>
    </w:tbl>
    <w:p>
      <w:r>
        <w:br w:type="page"/>
      </w:r>
    </w:p>
    <w:bookmarkEnd w:id="44"/>
    <w:bookmarkEnd w:id="45"/>
    <w:bookmarkStart w:id="50" w:name="discussion"/>
    <w:p>
      <w:pPr>
        <w:pStyle w:val="Heading1"/>
      </w:pPr>
      <w:r>
        <w:t xml:space="preserve">5. Discussion</w:t>
      </w:r>
    </w:p>
    <w:bookmarkStart w:id="46"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6"/>
    <w:bookmarkStart w:id="47"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7"/>
    <w:bookmarkStart w:id="49"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(3)</w:t>
      </w:r>
      <w:r>
        <w:t xml:space="preserve"> </w:t>
      </w:r>
      <w:r>
        <w:t xml:space="preserve">discusses types of analyses.</w:t>
      </w:r>
    </w:p>
    <w:p>
      <w:pPr>
        <w:pStyle w:val="BodyText"/>
      </w:pPr>
      <w:r>
        <w:t xml:space="preserve">These papers</w:t>
      </w:r>
      <w:r>
        <w:t xml:space="preserve"> </w:t>
      </w:r>
      <w:r>
        <w:t xml:space="preserve">(1,2)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8">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9"/>
    <w:bookmarkEnd w:id="50"/>
    <w:bookmarkStart w:id="58" w:name="references"/>
    <w:p>
      <w:pPr>
        <w:pStyle w:val="Heading1"/>
      </w:pPr>
      <w:r>
        <w:t xml:space="preserve">6. References</w:t>
      </w:r>
    </w:p>
    <w:bookmarkStart w:id="57" w:name="refs"/>
    <w:bookmarkStart w:id="52" w:name="ref-mckay2020"/>
    <w:p>
      <w:pPr>
        <w:pStyle w:val="Bibliography"/>
      </w:pPr>
      <w:r>
        <w:t xml:space="preserve">1.</w:t>
      </w:r>
      <w:r>
        <w:t xml:space="preserve"> </w:t>
      </w:r>
      <w:r>
        <w:t xml:space="preserve">	</w:t>
      </w:r>
      <w:r>
        <w:t xml:space="preserve">McKay B, Ebell M, Billings WZ, et al.</w:t>
      </w:r>
      <w:r>
        <w:t xml:space="preserve"> </w:t>
      </w:r>
      <w:hyperlink r:id="rId51">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Cs/>
          <w:i/>
        </w:rPr>
        <w:t xml:space="preserve">Open forum infectious diseases</w:t>
      </w:r>
      <w:r>
        <w:t xml:space="preserve">. 2020;7(11):ofaa494.</w:t>
      </w:r>
      <w:r>
        <w:t xml:space="preserve"> </w:t>
      </w:r>
    </w:p>
    <w:bookmarkEnd w:id="52"/>
    <w:bookmarkStart w:id="54" w:name="ref-mckay2020a"/>
    <w:p>
      <w:pPr>
        <w:pStyle w:val="Bibliography"/>
      </w:pPr>
      <w:r>
        <w:t xml:space="preserve">2.</w:t>
      </w:r>
      <w:r>
        <w:t xml:space="preserve"> </w:t>
      </w:r>
      <w:r>
        <w:t xml:space="preserve">	</w:t>
      </w:r>
      <w:r>
        <w:t xml:space="preserve">McKay B, Ebell M, Dale AP, et al.</w:t>
      </w:r>
      <w:r>
        <w:t xml:space="preserve"> </w:t>
      </w:r>
      <w:hyperlink r:id="rId53">
        <w:r>
          <w:rPr>
            <w:rStyle w:val="Hyperlink"/>
          </w:rPr>
          <w:t xml:space="preserve">Virulence-mediated infectiousness and activity trade-offs and their impact on transmission potential of influenza patients.</w:t>
        </w:r>
      </w:hyperlink>
      <w:r>
        <w:t xml:space="preserve"> </w:t>
      </w:r>
      <w:r>
        <w:rPr>
          <w:iCs/>
          <w:i/>
        </w:rPr>
        <w:t xml:space="preserve">Proceedings. Biological sciences</w:t>
      </w:r>
      <w:r>
        <w:t xml:space="preserve">. 2020;287(1927):20200496.</w:t>
      </w:r>
      <w:r>
        <w:t xml:space="preserve"> </w:t>
      </w:r>
    </w:p>
    <w:bookmarkEnd w:id="54"/>
    <w:bookmarkStart w:id="56" w:name="ref-leek2015"/>
    <w:p>
      <w:pPr>
        <w:pStyle w:val="Bibliography"/>
      </w:pPr>
      <w:r>
        <w:t xml:space="preserve">3.</w:t>
      </w:r>
      <w:r>
        <w:t xml:space="preserve"> </w:t>
      </w:r>
      <w:r>
        <w:t xml:space="preserve">	</w:t>
      </w:r>
      <w:r>
        <w:t xml:space="preserve">Leek JT, Peng RD.</w:t>
      </w:r>
      <w:r>
        <w:t xml:space="preserve"> </w:t>
      </w:r>
      <w:hyperlink r:id="rId55">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Cs/>
          <w:i/>
        </w:rPr>
        <w:t xml:space="preserve">Science (New York, N.Y.)</w:t>
      </w:r>
      <w:r>
        <w:t xml:space="preserve">. 2015;347(6228):1314–1315.</w:t>
      </w:r>
      <w:r>
        <w:t xml:space="preserve"> </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Doreen Kibuule Kalembe</dc:creator>
  <cp:keywords/>
  <dcterms:created xsi:type="dcterms:W3CDTF">2025-01-31T17:23:59Z</dcterms:created>
  <dcterms:modified xsi:type="dcterms:W3CDTF">2025-01-31T17:23:59Z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