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r>
        <w:br w:type="page"/>
      </w:r>
    </w:p>
    <w:bookmarkEnd w:id="31"/>
    <w:bookmarkEnd w:id="32"/>
    <w:bookmarkStart w:id="51"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 This was done make sure we minimize confounding.</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0"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went throught the steps of model building. First, we tested the null model which comprised of our main outcome and sex as the predictor. We did a stepwise selection using a foward direction approach with a our full model with all the interaction effects. We found that adding the interaction terms did not improve the model performance. We then considered the null model in comparison with the full model but this time round without interaction effects but all the predictors. Using the same procedure of stepwise selection using the foward direction chose the a simple linear model with just cd4+ as the only additional predictor.</w:t>
      </w:r>
      <w:r>
        <w:t xml:space="preserve"> </w:t>
      </w:r>
      <w:r>
        <w:t xml:space="preserve">We performed a simple linear regression on the data between the CD4 immune activation count as the main outcome and sex plus cd4+ as predictors. We considered females to be our reference level.</w:t>
      </w:r>
    </w:p>
    <w:p>
      <w:pPr>
        <w:pStyle w:val="BodyText"/>
      </w:pPr>
      <w:r>
        <w:t xml:space="preserve">This</w:t>
      </w:r>
      <w:r>
        <w:t xml:space="preserve"> </w:t>
      </w:r>
      <w:hyperlink w:anchor="tbl-model_table3">
        <w:r>
          <w:rPr>
            <w:rStyle w:val="Hyperlink"/>
          </w:rPr>
          <w:t xml:space="preserve">Table 3</w:t>
        </w:r>
      </w:hyperlink>
      <w:r>
        <w:t xml:space="preserve"> </w:t>
      </w:r>
      <w:r>
        <w:t xml:space="preserve">shows a summary of a final linear model fit.</w:t>
      </w:r>
    </w:p>
    <w:tbl>
      <w:tblPr>
        <w:tblStyle w:val="Table"/>
        <w:tblW w:type="pct" w:w="5000"/>
        <w:tblLook w:firstRow="0" w:lastRow="0" w:firstColumn="0" w:lastColumn="0" w:noHBand="0" w:noVBand="0" w:val="0000"/>
        <w:jc w:val="start"/>
        <w:tblLayout w:type="fixed"/>
      </w:tblPr>
      <w:tblGrid>
        <w:gridCol w:w="7920"/>
      </w:tblGrid>
      <w:tr>
        <w:tc>
          <w:tcPr/>
          <w:bookmarkStart w:id="49" w:name="tbl-model_table3"/>
          <w:p>
            <w:pPr>
              <w:jc w:val="center"/>
            </w:pPr>
            <w:pPr>
              <w:jc w:val="start"/>
              <w:spacing w:before="200"/>
              <w:pStyle w:val="ImageCaption"/>
            </w:pPr>
            <w:r>
              <w:t xml:space="preserve">Table 3: Linear model fit table 3.</w:t>
            </w:r>
          </w:p>
          <w:tbl>
            <w:tblPr>
              <w:tblStyle w:val="Table"/>
              <w:tblW w:type="pct" w:w="5000"/>
              <w:tblLook w:firstRow="1" w:lastRow="0" w:firstColumn="0" w:lastColumn="0" w:noHBand="0" w:noVBand="0" w:val="0020"/>
              <w:jc w:val="start"/>
              <w:tblLayout w:type="fixed"/>
            </w:tblPr>
            <w:tblGrid>
              <w:gridCol w:w="3111"/>
              <w:gridCol w:w="1037"/>
              <w:gridCol w:w="1037"/>
              <w:gridCol w:w="942"/>
              <w:gridCol w:w="1791"/>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535.366751</w:t>
                  </w:r>
                </w:p>
              </w:tc>
              <w:tc>
                <w:tcPr/>
                <w:p>
                  <w:pPr>
                    <w:pStyle w:val="Compact"/>
                    <w:jc w:val="right"/>
                    <w:jc w:val="center"/>
                  </w:pPr>
                  <w:r>
                    <w:t xml:space="preserve">765.700145</w:t>
                  </w:r>
                </w:p>
              </w:tc>
              <w:tc>
                <w:tcPr/>
                <w:p>
                  <w:pPr>
                    <w:pStyle w:val="Compact"/>
                    <w:jc w:val="right"/>
                    <w:jc w:val="center"/>
                  </w:pPr>
                  <w:r>
                    <w:t xml:space="preserve">0.6991859</w:t>
                  </w:r>
                </w:p>
              </w:tc>
              <w:tc>
                <w:tcPr/>
                <w:p>
                  <w:pPr>
                    <w:pStyle w:val="Compact"/>
                    <w:jc w:val="right"/>
                    <w:jc w:val="center"/>
                  </w:pPr>
                  <w:r>
                    <w:t xml:space="preserve">0.4873299</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735.337679</w:t>
                  </w:r>
                </w:p>
              </w:tc>
              <w:tc>
                <w:tcPr/>
                <w:p>
                  <w:pPr>
                    <w:pStyle w:val="Compact"/>
                    <w:jc w:val="right"/>
                    <w:jc w:val="center"/>
                  </w:pPr>
                  <w:r>
                    <w:t xml:space="preserve">643.915291</w:t>
                  </w:r>
                </w:p>
              </w:tc>
              <w:tc>
                <w:tcPr/>
                <w:p>
                  <w:pPr>
                    <w:pStyle w:val="Compact"/>
                    <w:jc w:val="right"/>
                    <w:jc w:val="center"/>
                  </w:pPr>
                  <w:r>
                    <w:t xml:space="preserve">1.1419789</w:t>
                  </w:r>
                </w:p>
              </w:tc>
              <w:tc>
                <w:tcPr/>
                <w:p>
                  <w:pPr>
                    <w:pStyle w:val="Compact"/>
                    <w:jc w:val="right"/>
                    <w:jc w:val="center"/>
                  </w:pPr>
                  <w:r>
                    <w:t xml:space="preserve">0.2583223</w:t>
                  </w:r>
                </w:p>
              </w:tc>
            </w:tr>
            <w:tr>
              <w:tc>
                <w:tcPr/>
                <w:p>
                  <w:pPr>
                    <w:pStyle w:val="Compact"/>
                    <w:jc w:val="left"/>
                    <w:jc w:val="center"/>
                  </w:pPr>
                  <w:r>
                    <w:rPr>
                      <w:rStyle w:val="VerbatimChar"/>
                    </w:rPr>
                    <w:t xml:space="preserve">CD4+</w:t>
                  </w:r>
                </w:p>
              </w:tc>
              <w:tc>
                <w:tcPr/>
                <w:p>
                  <w:pPr>
                    <w:pStyle w:val="Compact"/>
                    <w:jc w:val="right"/>
                    <w:jc w:val="center"/>
                  </w:pPr>
                  <w:r>
                    <w:t xml:space="preserve">3.074691</w:t>
                  </w:r>
                </w:p>
              </w:tc>
              <w:tc>
                <w:tcPr/>
                <w:p>
                  <w:pPr>
                    <w:pStyle w:val="Compact"/>
                    <w:jc w:val="right"/>
                    <w:jc w:val="center"/>
                  </w:pPr>
                  <w:r>
                    <w:t xml:space="preserve">1.583202</w:t>
                  </w:r>
                </w:p>
              </w:tc>
              <w:tc>
                <w:tcPr/>
                <w:p>
                  <w:pPr>
                    <w:pStyle w:val="Compact"/>
                    <w:jc w:val="right"/>
                    <w:jc w:val="center"/>
                  </w:pPr>
                  <w:r>
                    <w:t xml:space="preserve">1.9420715</w:t>
                  </w:r>
                </w:p>
              </w:tc>
              <w:tc>
                <w:tcPr/>
                <w:p>
                  <w:pPr>
                    <w:pStyle w:val="Compact"/>
                    <w:jc w:val="right"/>
                    <w:jc w:val="center"/>
                  </w:pPr>
                  <w:r>
                    <w:t xml:space="preserve">0.0571646</w:t>
                  </w:r>
                </w:p>
              </w:tc>
            </w:tr>
          </w:tbl>
          <w:bookmarkEnd w:id="49"/>
          <w:p/>
        </w:tc>
      </w:tr>
    </w:tbl>
    <w:p>
      <w:r>
        <w:br w:type="page"/>
      </w:r>
    </w:p>
    <w:bookmarkEnd w:id="50"/>
    <w:bookmarkEnd w:id="51"/>
    <w:bookmarkStart w:id="55"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2"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2"/>
    <w:bookmarkStart w:id="53"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3"/>
    <w:bookmarkStart w:id="54"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r>
        <w:br w:type="page"/>
      </w:r>
    </w:p>
    <w:bookmarkEnd w:id="54"/>
    <w:bookmarkEnd w:id="55"/>
    <w:bookmarkStart w:id="73" w:name="references"/>
    <w:p>
      <w:pPr>
        <w:pStyle w:val="Heading1"/>
      </w:pPr>
      <w:r>
        <w:t xml:space="preserve">6. References</w:t>
      </w:r>
    </w:p>
    <w:bookmarkStart w:id="72" w:name="refs"/>
    <w:bookmarkStart w:id="57"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6">
        <w:r>
          <w:rPr>
            <w:rStyle w:val="Hyperlink"/>
          </w:rPr>
          <w:t xml:space="preserve">http://dx.doi.org/10.1590/S0104-11692007000700008</w:t>
        </w:r>
      </w:hyperlink>
      <w:r>
        <w:t xml:space="preserve">)</w:t>
      </w:r>
    </w:p>
    <w:bookmarkEnd w:id="57"/>
    <w:bookmarkStart w:id="59"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8">
        <w:r>
          <w:rPr>
            <w:rStyle w:val="Hyperlink"/>
          </w:rPr>
          <w:t xml:space="preserve">http://dx.doi.org/10.1093/aje/kwx025</w:t>
        </w:r>
      </w:hyperlink>
      <w:r>
        <w:t xml:space="preserve">)</w:t>
      </w:r>
    </w:p>
    <w:bookmarkEnd w:id="59"/>
    <w:bookmarkStart w:id="61"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0">
        <w:r>
          <w:rPr>
            <w:rStyle w:val="Hyperlink"/>
          </w:rPr>
          <w:t xml:space="preserve">http://dx.doi.org/10.1016/S0140-6736(98)03199-7</w:t>
        </w:r>
      </w:hyperlink>
      <w:r>
        <w:t xml:space="preserve">)</w:t>
      </w:r>
    </w:p>
    <w:bookmarkEnd w:id="61"/>
    <w:bookmarkStart w:id="63"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2">
        <w:r>
          <w:rPr>
            <w:rStyle w:val="Hyperlink"/>
          </w:rPr>
          <w:t xml:space="preserve">http://dx.doi.org/10.3233/SHTI240053</w:t>
        </w:r>
      </w:hyperlink>
      <w:r>
        <w:t xml:space="preserve">)</w:t>
      </w:r>
    </w:p>
    <w:bookmarkEnd w:id="63"/>
    <w:bookmarkStart w:id="65" w:name="ref-CCWhalen2023"/>
    <w:p>
      <w:pPr>
        <w:pStyle w:val="Bibliography"/>
      </w:pPr>
      <w:r>
        <w:t xml:space="preserve">5.</w:t>
      </w:r>
      <w:r>
        <w:t xml:space="preserve"> </w:t>
      </w:r>
      <w:r>
        <w:t xml:space="preserve">	</w:t>
      </w:r>
      <w:r>
        <w:t xml:space="preserve">Whalen C. Sex differences in the presentation of tuberculosis in uganda. 2023;(</w:t>
      </w:r>
      <w:hyperlink r:id="rId64">
        <w:r>
          <w:rPr>
            <w:rStyle w:val="Hyperlink"/>
          </w:rPr>
          <w:t xml:space="preserve">https://dataverse.unc.edu/citation?persistentId=doi:10.15139/S3/AYOFEU</w:t>
        </w:r>
      </w:hyperlink>
      <w:r>
        <w:t xml:space="preserve">)</w:t>
      </w:r>
    </w:p>
    <w:bookmarkEnd w:id="65"/>
    <w:bookmarkStart w:id="67"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6">
        <w:r>
          <w:rPr>
            <w:rStyle w:val="Hyperlink"/>
          </w:rPr>
          <w:t xml:space="preserve">http://dx.doi.org/10.1007/s00281-018-0725-6</w:t>
        </w:r>
      </w:hyperlink>
      <w:r>
        <w:t xml:space="preserve">)</w:t>
      </w:r>
    </w:p>
    <w:bookmarkEnd w:id="67"/>
    <w:bookmarkStart w:id="69"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8">
        <w:r>
          <w:rPr>
            <w:rStyle w:val="Hyperlink"/>
          </w:rPr>
          <w:t xml:space="preserve">http://dx.doi.org/10.1016/j.pulmoe.2018.03.004</w:t>
        </w:r>
      </w:hyperlink>
      <w:r>
        <w:t xml:space="preserve">)</w:t>
      </w:r>
    </w:p>
    <w:bookmarkEnd w:id="69"/>
    <w:bookmarkStart w:id="71"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0">
        <w:r>
          <w:rPr>
            <w:rStyle w:val="Hyperlink"/>
          </w:rPr>
          <w:t xml:space="preserve">http://dx.doi.org/10.1186/2042-6410-3-13</w:t>
        </w:r>
      </w:hyperlink>
      <w:r>
        <w:t xml:space="preserve">)</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6" Target="http://dx.doi.org/10.1007/s00281-018-0725-6" TargetMode="External" /><Relationship Type="http://schemas.openxmlformats.org/officeDocument/2006/relationships/hyperlink" Id="rId60" Target="http://dx.doi.org/10.1016/S0140-6736(98)03199-7" TargetMode="External" /><Relationship Type="http://schemas.openxmlformats.org/officeDocument/2006/relationships/hyperlink" Id="rId68" Target="http://dx.doi.org/10.1016/j.pulmoe.2018.03.004" TargetMode="External" /><Relationship Type="http://schemas.openxmlformats.org/officeDocument/2006/relationships/hyperlink" Id="rId58" Target="http://dx.doi.org/10.1093/aje/kwx025" TargetMode="External" /><Relationship Type="http://schemas.openxmlformats.org/officeDocument/2006/relationships/hyperlink" Id="rId70" Target="http://dx.doi.org/10.1186/2042-6410-3-13" TargetMode="External" /><Relationship Type="http://schemas.openxmlformats.org/officeDocument/2006/relationships/hyperlink" Id="rId56" Target="http://dx.doi.org/10.1590/S0104-11692007000700008" TargetMode="External" /><Relationship Type="http://schemas.openxmlformats.org/officeDocument/2006/relationships/hyperlink" Id="rId62" Target="http://dx.doi.org/10.3233/SHTI240053" TargetMode="External" /><Relationship Type="http://schemas.openxmlformats.org/officeDocument/2006/relationships/hyperlink" Id="rId64"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2025-03-14T20:10:43Z</dcterms:created>
  <dcterms:modified xsi:type="dcterms:W3CDTF">2025-03-14T20:10:43Z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