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9.png" ContentType="image/png"/>
  <Override PartName="/word/media/rId35.png" ContentType="image/png"/>
  <Override PartName="/word/media/rId38.png" ContentType="image/png"/>
  <Override PartName="/word/media/rId52.png" ContentType="image/png"/>
  <Override PartName="/word/media/rId41.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kelvinbwambale8@gmail.com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0" w:name="summaryabstract"/>
    <w:p>
      <w:pPr>
        <w:pStyle w:val="Heading1"/>
      </w:pPr>
      <w:r>
        <w:t xml:space="preserve">1. Summary/Abstract</w:t>
      </w:r>
    </w:p>
    <w:p>
      <w:pPr>
        <w:pStyle w:val="FirstParagraph"/>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#Methods</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study had 30 males and 30 females. All these participants were hiv negative and didnot have tuberculosis at the time of enrollment.</w:t>
      </w:r>
    </w:p>
    <w:p>
      <w:pPr>
        <w:pStyle w:val="BodyText"/>
      </w:pPr>
      <w:r>
        <w:t xml:space="preserve">The key exposure varibles are demographic and clinicalk. These include;</w:t>
      </w:r>
      <w:r>
        <w:t xml:space="preserve"> </w:t>
      </w: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BodyText"/>
      </w:pPr>
      <w:r>
        <w:t xml:space="preserve">#Proposed Analysis Method.</w:t>
      </w:r>
    </w:p>
    <w:p>
      <w:pPr>
        <w:pStyle w:val="BodyText"/>
      </w:pPr>
      <w:r>
        <w:t xml:space="preserve">• The annalysis was conducted in R version 4.4.2. This was done to Compare immune activation levels between males and females.</w:t>
      </w:r>
    </w:p>
    <w:p>
      <w:pPr>
        <w:pStyle w:val="BodyText"/>
      </w:pPr>
      <w:r>
        <w:t xml:space="preserve">We computed the male-to-female differences in disease severity using cd4 immune activation counts.We correlated immune markers with disease severity measures/Correlation between activation levels and disease severity. We did this using linear regression and machine learning models to predict which sex will show the most results. We also adjusted for potential confounders like age.</w:t>
      </w:r>
    </w:p>
    <w:p>
      <w:pPr>
        <w:pStyle w:val="BodyText"/>
      </w:pPr>
      <w:r>
        <w:t xml:space="preserve">#Results</w:t>
      </w:r>
    </w:p>
    <w:p>
      <w:pPr>
        <w:pStyle w:val="BodyText"/>
      </w:pPr>
      <w:r>
        <w:t xml:space="preserve">#conclusions.</w:t>
      </w:r>
      <w:r>
        <w:t xml:space="preserve"> </w:t>
      </w:r>
      <w:r>
        <w:t xml:space="preserve">Sex differences in TB is contributed by more than just hormonal influence. Our study shows that TB is more severe in men than it is in women. Regardless of the medical seeking behaviors of women, women tend to a have a high body fat percentage more than men.The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'purrr' was built under R version 4.4.3</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1.0.4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primarily spreads when a person shares airspace with someone who has active tuberculosis and inhales infectious droplet aerosols. Since the bacterium transmits through respiratory routes to susceptible individuals, the household of an infected person becomes a critical environment for intense M. tuberculosis transmission, where most new infections and cases can be detected and treated.</w:t>
      </w:r>
      <w:r>
        <w:t xml:space="preserve"> </w:t>
      </w:r>
      <w:r>
        <w:t xml:space="preserve">Research reports indicate significant differences in tuberculosis responses between men and women. Notably, these studies suggest that women face greater barriers to early detection and treatment of tuberculosis compared to men, potentially impacting disease outcomes and progression.</w:t>
      </w:r>
    </w:p>
    <w:p>
      <w:pPr>
        <w:pStyle w:val="BodyText"/>
      </w:pPr>
      <w:r>
        <w:t xml:space="preserve">The World Health Organisations, among others, attributed to the differences in the tuberculosis trends between men and women to access to care and treatment, pregnancy effects,body fat mass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Body fat plays an important role in supporting immune function, and women typically maintain higher fat storage than men. This increased fat storage may contribute to women’s stronger immune responses. Since the balance of fat and lean tissue differs significantly between men and women, particularly at the time of disease presentation, the objective of this study is to determine whether higher immune activation correlates with greater infection severity or illness.</w:t>
      </w:r>
    </w:p>
    <w:bookmarkEnd w:id="21"/>
    <w:bookmarkStart w:id="22"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2"/>
    <w:bookmarkStart w:id="23"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3"/>
    <w:bookmarkEnd w:id="24"/>
    <w:bookmarkStart w:id="32" w:name="methods"/>
    <w:p>
      <w:pPr>
        <w:pStyle w:val="Heading1"/>
      </w:pPr>
      <w:r>
        <w:t xml:space="preserve">3. Methods</w:t>
      </w:r>
    </w:p>
    <w:p>
      <w:pPr>
        <w:pStyle w:val="FirstParagraph"/>
      </w:pPr>
      <w:r>
        <w:t xml:space="preserve">Study Design</w:t>
      </w:r>
    </w:p>
    <w:p>
      <w:pPr>
        <w:pStyle w:val="BodyText"/>
      </w:pPr>
      <w:r>
        <w:t xml:space="preserve">This study utilized a cross sectional study design analyzing data from 2017.Sixty TB-confirmed participants (30 males, 30 females, aged 15+) were recruited from Mulago Hospital.</w:t>
      </w:r>
    </w:p>
    <w:p>
      <w:pPr>
        <w:pStyle w:val="BodyText"/>
      </w:pPr>
    </w:p>
    <w:p>
      <w:pPr>
        <w:pStyle w:val="BodyText"/>
      </w:pPr>
      <w:r>
        <w:t xml:space="preserve">Our study included patients aged 15 years and older who were experiencing their first episode of tuberculosis. To maintain data integrity, we excluded individuals who were receiving hormonal therapy or using hormonal contraceptives. Additionally, patients with comorbidities such as diabetes mellitus, cancer, or HIV were excluded from the study. Conversely, we applied strict exclusion criteria to ensure a focused research population: all individuals under 15 years of age, those with recurrent TB episodes, patients taking any form of hormonal therapy or contraception, and those diagnosed with diabetes mellitus, cancer, or HIV were not enrolled in the study.</w:t>
      </w:r>
    </w:p>
    <w:p>
      <w:pPr>
        <w:pStyle w:val="BodyText"/>
      </w:pP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 other variables like fat mass index (FMI) and fat-free mass index (FFMI) were also obtained.</w:t>
      </w:r>
    </w:p>
    <w:bookmarkStart w:id="29"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1"/>
          <w:p>
            <w:pPr>
              <w:pStyle w:val="Compact"/>
              <w:jc w:val="center"/>
            </w:pPr>
            <w:r>
              <w:drawing>
                <wp:inline>
                  <wp:extent cx="5334000" cy="2856639"/>
                  <wp:effectExtent b="0" l="0" r="0" t="0"/>
                  <wp:docPr descr="" title="" id="26" name="Picture"/>
                  <a:graphic>
                    <a:graphicData uri="http://schemas.openxmlformats.org/drawingml/2006/picture">
                      <pic:pic>
                        <pic:nvPicPr>
                          <pic:cNvPr descr="../../assets/tbfig-1.png" id="27" name="Picture"/>
                          <pic:cNvPicPr>
                            <a:picLocks noChangeArrowheads="1" noChangeAspect="1"/>
                          </pic:cNvPicPr>
                        </pic:nvPicPr>
                        <pic:blipFill>
                          <a:blip r:embed="rId25"/>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28"/>
        </w:tc>
      </w:tr>
    </w:tbl>
    <w:bookmarkEnd w:id="29"/>
    <w:bookmarkStart w:id="30" w:name="data-import-and-cleaning"/>
    <w:p>
      <w:pPr>
        <w:pStyle w:val="Heading2"/>
      </w:pPr>
      <w:r>
        <w:t xml:space="preserve">3.2 Data import and cleaning</w:t>
      </w:r>
    </w:p>
    <w:p>
      <w:pPr>
        <w:pStyle w:val="FirstParagraph"/>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0"/>
    <w:bookmarkStart w:id="31" w:name="statistical-analysis"/>
    <w:p>
      <w:pPr>
        <w:pStyle w:val="Heading2"/>
      </w:pPr>
      <w:r>
        <w:t xml:space="preserve">3.3 Statistical analysis</w:t>
      </w:r>
    </w:p>
    <w:p>
      <w:pPr>
        <w:pStyle w:val="FirstParagraph"/>
      </w:pPr>
      <w:r>
        <w:t xml:space="preserve">The final cleaned data set contains some negative fat values.</w:t>
      </w:r>
      <w:r>
        <w:t xml:space="preserve"> </w:t>
      </w:r>
      <w:r>
        <w:t xml:space="preserve">Negative values occur when the deuterium dose has not had sufficient time to fully equilibrate with body water, or the dose was not completely consumed. This is seen as low deuterium enrichment, resulting in an overestimation of the size of the body water pool and hence high FFM (FFMI = LBM / height2)and low % body fat.</w:t>
      </w:r>
    </w:p>
    <w:p>
      <w:pPr>
        <w:pStyle w:val="BodyText"/>
      </w:pPr>
      <w:r>
        <w:t xml:space="preserve">We applied three supervised machine learning models — linear regression, LASSO regression, and Random Forests — to predict CD4 Immune Activation Count based on Sex, Age, BMI, Lean Body Mass (LBM), Fat mass, and CD4+ cell count. Data preprocessing included median imputation for missing values, dummy encoding of categorical variables, normalization, and removal of highly correlated features. Models were evaluated using RMSE and visualized through observed vs. predicted plots. Hyperparameter tuning was performed using grid search with cross-validation.</w:t>
      </w:r>
    </w:p>
    <w:p>
      <w:pPr>
        <w:pStyle w:val="BodyText"/>
      </w:pPr>
      <w:r>
        <w:t xml:space="preserve">The significance of Sex as a predictor of immune activation was assessed in each model. For linear models, coefficients for Sex were examined along with their corresponding p-values. The Random Forest model’s variable importance was assessed to identify the predictive contribution of Sex.</w:t>
      </w:r>
    </w:p>
    <w:p>
      <w:r>
        <w:br w:type="page"/>
      </w:r>
    </w:p>
    <w:bookmarkEnd w:id="31"/>
    <w:bookmarkEnd w:id="32"/>
    <w:bookmarkStart w:id="56" w:name="results"/>
    <w:p>
      <w:pPr>
        <w:pStyle w:val="Heading1"/>
      </w:pPr>
      <w:r>
        <w:t xml:space="preserve">4. Results</w:t>
      </w:r>
    </w:p>
    <w:bookmarkStart w:id="34" w:name="exploratorydescriptive-analysis"/>
    <w:p>
      <w:pPr>
        <w:pStyle w:val="Heading2"/>
      </w:pPr>
      <w:r>
        <w:t xml:space="preserve">4.1 Exploratory/Descriptive analysis</w:t>
      </w:r>
    </w:p>
    <w:p>
      <w:pPr>
        <w:pStyle w:val="FirstParagraph"/>
      </w:pPr>
      <w:r>
        <w:t xml:space="preserve">We explored the data and using figures and summary tables. We used box plots, histograms and and correlation plots to see whether we can find something interesting in the data. Scatter plots were used to see the trends in the data and also see whether there are some interesting relationships between the continuous variables in the data.</w:t>
      </w:r>
    </w:p>
    <w:p>
      <w:pPr>
        <w:pStyle w:val="BodyText"/>
      </w:pP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3"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3"/>
          <w:p/>
        </w:tc>
      </w:tr>
    </w:tbl>
    <w:bookmarkEnd w:id="34"/>
    <w:bookmarkStart w:id="47" w:name="basic-statistical-analysis"/>
    <w:p>
      <w:pPr>
        <w:pStyle w:val="Heading2"/>
      </w:pPr>
      <w:r>
        <w:t xml:space="preserve">4.2 Basic statistical analysis</w:t>
      </w:r>
    </w:p>
    <w:p>
      <w:pPr>
        <w:pStyle w:val="FirstParagraph"/>
      </w:pPr>
      <w:r>
        <w:t xml:space="preserve">We used simple linear model to inspect whether there was an association between our main outcome CD4 immune activation count and the the primary predictor sex. To improve the model, we added in other predictors that could influence the immune activation count by performing a multi-variant linear regression anlaysis.</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6" name="Picture"/>
            <a:graphic>
              <a:graphicData uri="http://schemas.openxmlformats.org/drawingml/2006/picture">
                <pic:pic>
                  <pic:nvPicPr>
                    <pic:cNvPr descr="../../results/figures/Scatterplot1.png" id="37" name="Picture"/>
                    <pic:cNvPicPr>
                      <a:picLocks noChangeArrowheads="1" noChangeAspect="1"/>
                    </pic:cNvPicPr>
                  </pic:nvPicPr>
                  <pic:blipFill>
                    <a:blip r:embed="rId35"/>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39" name="Picture"/>
            <a:graphic>
              <a:graphicData uri="http://schemas.openxmlformats.org/drawingml/2006/picture">
                <pic:pic>
                  <pic:nvPicPr>
                    <pic:cNvPr descr="../../results/figures/Scatterplot2.png" id="40" name="Picture"/>
                    <pic:cNvPicPr>
                      <a:picLocks noChangeArrowheads="1" noChangeAspect="1"/>
                    </pic:cNvPicPr>
                  </pic:nvPicPr>
                  <pic:blipFill>
                    <a:blip r:embed="rId38"/>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2" name="Picture"/>
            <a:graphic>
              <a:graphicData uri="http://schemas.openxmlformats.org/drawingml/2006/picture">
                <pic:pic>
                  <pic:nvPicPr>
                    <pic:cNvPr descr="../../results/figures/boxplot1.png" id="43"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5" name="Picture"/>
            <a:graphic>
              <a:graphicData uri="http://schemas.openxmlformats.org/drawingml/2006/picture">
                <pic:pic>
                  <pic:nvPicPr>
                    <pic:cNvPr descr="../../results/figures/boxplot2.png" id="46" name="Picture"/>
                    <pic:cNvPicPr>
                      <a:picLocks noChangeArrowheads="1" noChangeAspect="1"/>
                    </pic:cNvPicPr>
                  </pic:nvPicPr>
                  <pic:blipFill>
                    <a:blip r:embed="rId44"/>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7"/>
    <w:bookmarkStart w:id="55" w:name="full-analysis"/>
    <w:p>
      <w:pPr>
        <w:pStyle w:val="Heading2"/>
      </w:pPr>
      <w:r>
        <w:t xml:space="preserve">4.3 Full analysis</w:t>
      </w:r>
    </w:p>
    <w:p>
      <w:pPr>
        <w:pStyle w:val="FirstParagraph"/>
      </w:pPr>
      <w:r>
        <w:t xml:space="preserve">In order to take care of confounding, we performed a multi-regression analysis and the results of the analysis are summarized in the table below.</w:t>
      </w:r>
    </w:p>
    <w:p>
      <w:pPr>
        <w:pStyle w:val="BodyText"/>
      </w:pPr>
      <w:r>
        <w:t xml:space="preserve">This</w:t>
      </w:r>
      <w:r>
        <w:t xml:space="preserve"> </w:t>
      </w:r>
      <w:hyperlink w:anchor="tbl-model_table2">
        <w:r>
          <w:rPr>
            <w:rStyle w:val="Hyperlink"/>
          </w:rPr>
          <w:t xml:space="preserve">Table 2</w:t>
        </w:r>
      </w:hyperlink>
      <w:r>
        <w:t xml:space="preserve"> </w:t>
      </w:r>
      <w:r>
        <w:t xml:space="preserve">shows a summary of a multi-variant linear regression model fit.</w:t>
      </w:r>
    </w:p>
    <w:tbl>
      <w:tblPr>
        <w:tblStyle w:val="Table"/>
        <w:tblW w:type="pct" w:w="5000"/>
        <w:tblLook w:firstRow="0" w:lastRow="0" w:firstColumn="0" w:lastColumn="0" w:noHBand="0" w:noVBand="0" w:val="0000"/>
        <w:jc w:val="start"/>
        <w:tblLayout w:type="fixed"/>
      </w:tblPr>
      <w:tblGrid>
        <w:gridCol w:w="7920"/>
      </w:tblGrid>
      <w:tr>
        <w:tc>
          <w:tcPr/>
          <w:bookmarkStart w:id="48" w:name="tbl-model_table2"/>
          <w:p>
            <w:pPr>
              <w:jc w:val="center"/>
            </w:pPr>
            <w:pPr>
              <w:jc w:val="start"/>
              <w:spacing w:before="200"/>
              <w:pStyle w:val="ImageCaption"/>
            </w:pPr>
            <w:r>
              <w:t xml:space="preserve">Table 2: Linear model summary table 2.</w:t>
            </w:r>
          </w:p>
          <w:tbl>
            <w:tblPr>
              <w:tblStyle w:val="Table"/>
              <w:tblW w:type="pct" w:w="5000"/>
              <w:tblLook w:firstRow="1" w:lastRow="0" w:firstColumn="0" w:lastColumn="0" w:noHBand="0" w:noVBand="0" w:val="0020"/>
              <w:jc w:val="start"/>
              <w:tblLayout w:type="fixed"/>
            </w:tblPr>
            <w:tblGrid>
              <w:gridCol w:w="3004"/>
              <w:gridCol w:w="1092"/>
              <w:gridCol w:w="1092"/>
              <w:gridCol w:w="1001"/>
              <w:gridCol w:w="1729"/>
            </w:tblGrid>
            <w:tr>
              <w:trPr>
                <w:tblHeader w:val="true"/>
              </w:trPr>
              <w:tc>
                <w:tcPr/>
                <w:p>
                  <w:pPr>
                    <w:pStyle w:val="Compact"/>
                  </w:pPr>
                </w:p>
              </w:tc>
              <w:tc>
                <w:tcPr/>
                <w:p>
                  <w:pPr>
                    <w:pStyle w:val="Compact"/>
                    <w:jc w:val="right"/>
                    <w:jc w:val="center"/>
                  </w:pPr>
                  <w:r>
                    <w:t xml:space="preserve">Estimate</w:t>
                  </w:r>
                </w:p>
              </w:tc>
              <w:tc>
                <w:tcPr/>
                <w:p>
                  <w:pPr>
                    <w:pStyle w:val="Compact"/>
                    <w:jc w:val="right"/>
                    <w:jc w:val="center"/>
                  </w:pPr>
                  <w:r>
                    <w:t xml:space="preserve">Std. Error</w:t>
                  </w:r>
                </w:p>
              </w:tc>
              <w:tc>
                <w:tcPr/>
                <w:p>
                  <w:pPr>
                    <w:pStyle w:val="Compact"/>
                    <w:jc w:val="right"/>
                    <w:jc w:val="center"/>
                  </w:pPr>
                  <w:r>
                    <w:t xml:space="preserve">t value</w:t>
                  </w:r>
                </w:p>
              </w:tc>
              <w:tc>
                <w:tcPr/>
                <w:p>
                  <w:pPr>
                    <w:pStyle w:val="Compact"/>
                    <w:jc w:val="right"/>
                    <w:jc w:val="center"/>
                  </w:pPr>
                  <w:r>
                    <w:t xml:space="preserve">Pr(&gt;|t|)</w:t>
                  </w:r>
                </w:p>
              </w:tc>
            </w:tr>
            <w:tr>
              <w:tc>
                <w:tcPr/>
                <w:p>
                  <w:pPr>
                    <w:pStyle w:val="Compact"/>
                    <w:jc w:val="left"/>
                    <w:jc w:val="center"/>
                  </w:pPr>
                  <w:r>
                    <w:t xml:space="preserve">(Intercept)</w:t>
                  </w:r>
                </w:p>
              </w:tc>
              <w:tc>
                <w:tcPr/>
                <w:p>
                  <w:pPr>
                    <w:pStyle w:val="Compact"/>
                    <w:jc w:val="right"/>
                    <w:jc w:val="center"/>
                  </w:pPr>
                  <w:r>
                    <w:t xml:space="preserve">3759.632173</w:t>
                  </w:r>
                </w:p>
              </w:tc>
              <w:tc>
                <w:tcPr/>
                <w:p>
                  <w:pPr>
                    <w:pStyle w:val="Compact"/>
                    <w:jc w:val="right"/>
                    <w:jc w:val="center"/>
                  </w:pPr>
                  <w:r>
                    <w:t xml:space="preserve">2567.133417</w:t>
                  </w:r>
                </w:p>
              </w:tc>
              <w:tc>
                <w:tcPr/>
                <w:p>
                  <w:pPr>
                    <w:pStyle w:val="Compact"/>
                    <w:jc w:val="right"/>
                    <w:jc w:val="center"/>
                  </w:pPr>
                  <w:r>
                    <w:t xml:space="preserve">1.4645254</w:t>
                  </w:r>
                </w:p>
              </w:tc>
              <w:tc>
                <w:tcPr/>
                <w:p>
                  <w:pPr>
                    <w:pStyle w:val="Compact"/>
                    <w:jc w:val="right"/>
                    <w:jc w:val="center"/>
                  </w:pPr>
                  <w:r>
                    <w:t xml:space="preserve">0.1490704</w:t>
                  </w:r>
                </w:p>
              </w:tc>
            </w:tr>
            <w:tr>
              <w:tc>
                <w:tcPr/>
                <w:p>
                  <w:pPr>
                    <w:pStyle w:val="Compact"/>
                    <w:jc w:val="left"/>
                    <w:jc w:val="center"/>
                  </w:pPr>
                  <w:r>
                    <w:t xml:space="preserve">relevel(factor(Sex), ref =</w:t>
                  </w:r>
                  <w:r>
                    <w:t xml:space="preserve"> </w:t>
                  </w:r>
                  <w:r>
                    <w:t xml:space="preserve">“</w:t>
                  </w:r>
                  <w:r>
                    <w:t xml:space="preserve">F</w:t>
                  </w:r>
                  <w:r>
                    <w:t xml:space="preserve">”</w:t>
                  </w:r>
                  <w:r>
                    <w:t xml:space="preserve">)M</w:t>
                  </w:r>
                </w:p>
              </w:tc>
              <w:tc>
                <w:tcPr/>
                <w:p>
                  <w:pPr>
                    <w:pStyle w:val="Compact"/>
                    <w:jc w:val="right"/>
                    <w:jc w:val="center"/>
                  </w:pPr>
                  <w:r>
                    <w:t xml:space="preserve">928.102409</w:t>
                  </w:r>
                </w:p>
              </w:tc>
              <w:tc>
                <w:tcPr/>
                <w:p>
                  <w:pPr>
                    <w:pStyle w:val="Compact"/>
                    <w:jc w:val="right"/>
                    <w:jc w:val="center"/>
                  </w:pPr>
                  <w:r>
                    <w:t xml:space="preserve">804.136468</w:t>
                  </w:r>
                </w:p>
              </w:tc>
              <w:tc>
                <w:tcPr/>
                <w:p>
                  <w:pPr>
                    <w:pStyle w:val="Compact"/>
                    <w:jc w:val="right"/>
                    <w:jc w:val="center"/>
                  </w:pPr>
                  <w:r>
                    <w:t xml:space="preserve">1.1541603</w:t>
                  </w:r>
                </w:p>
              </w:tc>
              <w:tc>
                <w:tcPr/>
                <w:p>
                  <w:pPr>
                    <w:pStyle w:val="Compact"/>
                    <w:jc w:val="right"/>
                    <w:jc w:val="center"/>
                  </w:pPr>
                  <w:r>
                    <w:t xml:space="preserve">0.2537114</w:t>
                  </w:r>
                </w:p>
              </w:tc>
            </w:tr>
            <w:tr>
              <w:tc>
                <w:tcPr/>
                <w:p>
                  <w:pPr>
                    <w:pStyle w:val="Compact"/>
                    <w:jc w:val="left"/>
                    <w:jc w:val="center"/>
                  </w:pPr>
                  <w:r>
                    <w:rPr>
                      <w:rStyle w:val="VerbatimChar"/>
                    </w:rPr>
                    <w:t xml:space="preserve">Participant age</w:t>
                  </w:r>
                </w:p>
              </w:tc>
              <w:tc>
                <w:tcPr/>
                <w:p>
                  <w:pPr>
                    <w:pStyle w:val="Compact"/>
                    <w:jc w:val="right"/>
                    <w:jc w:val="center"/>
                  </w:pPr>
                  <w:r>
                    <w:t xml:space="preserve">-6.818317</w:t>
                  </w:r>
                </w:p>
              </w:tc>
              <w:tc>
                <w:tcPr/>
                <w:p>
                  <w:pPr>
                    <w:pStyle w:val="Compact"/>
                    <w:jc w:val="right"/>
                    <w:jc w:val="center"/>
                  </w:pPr>
                  <w:r>
                    <w:t xml:space="preserve">31.975088</w:t>
                  </w:r>
                </w:p>
              </w:tc>
              <w:tc>
                <w:tcPr/>
                <w:p>
                  <w:pPr>
                    <w:pStyle w:val="Compact"/>
                    <w:jc w:val="right"/>
                    <w:jc w:val="center"/>
                  </w:pPr>
                  <w:r>
                    <w:t xml:space="preserve">-0.2132384</w:t>
                  </w:r>
                </w:p>
              </w:tc>
              <w:tc>
                <w:tcPr/>
                <w:p>
                  <w:pPr>
                    <w:pStyle w:val="Compact"/>
                    <w:jc w:val="right"/>
                    <w:jc w:val="center"/>
                  </w:pPr>
                  <w:r>
                    <w:t xml:space="preserve">0.8319748</w:t>
                  </w:r>
                </w:p>
              </w:tc>
            </w:tr>
            <w:tr>
              <w:tc>
                <w:tcPr/>
                <w:p>
                  <w:pPr>
                    <w:pStyle w:val="Compact"/>
                    <w:jc w:val="left"/>
                    <w:jc w:val="center"/>
                  </w:pPr>
                  <w:r>
                    <w:t xml:space="preserve">BMI</w:t>
                  </w:r>
                </w:p>
              </w:tc>
              <w:tc>
                <w:tcPr/>
                <w:p>
                  <w:pPr>
                    <w:pStyle w:val="Compact"/>
                    <w:jc w:val="right"/>
                    <w:jc w:val="center"/>
                  </w:pPr>
                  <w:r>
                    <w:t xml:space="preserve">-174.848153</w:t>
                  </w:r>
                </w:p>
              </w:tc>
              <w:tc>
                <w:tcPr/>
                <w:p>
                  <w:pPr>
                    <w:pStyle w:val="Compact"/>
                    <w:jc w:val="right"/>
                    <w:jc w:val="center"/>
                  </w:pPr>
                  <w:r>
                    <w:t xml:space="preserve">177.081620</w:t>
                  </w:r>
                </w:p>
              </w:tc>
              <w:tc>
                <w:tcPr/>
                <w:p>
                  <w:pPr>
                    <w:pStyle w:val="Compact"/>
                    <w:jc w:val="right"/>
                    <w:jc w:val="center"/>
                  </w:pPr>
                  <w:r>
                    <w:t xml:space="preserve">-0.9873874</w:t>
                  </w:r>
                </w:p>
              </w:tc>
              <w:tc>
                <w:tcPr/>
                <w:p>
                  <w:pPr>
                    <w:pStyle w:val="Compact"/>
                    <w:jc w:val="right"/>
                    <w:jc w:val="center"/>
                  </w:pPr>
                  <w:r>
                    <w:t xml:space="preserve">0.3280250</w:t>
                  </w:r>
                </w:p>
              </w:tc>
            </w:tr>
            <w:tr>
              <w:tc>
                <w:tcPr/>
                <w:p>
                  <w:pPr>
                    <w:pStyle w:val="Compact"/>
                    <w:jc w:val="left"/>
                    <w:jc w:val="center"/>
                  </w:pPr>
                  <w:r>
                    <w:rPr>
                      <w:rStyle w:val="VerbatimChar"/>
                    </w:rPr>
                    <w:t xml:space="preserve">LBM in kg</w:t>
                  </w:r>
                </w:p>
              </w:tc>
              <w:tc>
                <w:tcPr/>
                <w:p>
                  <w:pPr>
                    <w:pStyle w:val="Compact"/>
                    <w:jc w:val="right"/>
                    <w:jc w:val="center"/>
                  </w:pPr>
                  <w:r>
                    <w:t xml:space="preserve">3.933569</w:t>
                  </w:r>
                </w:p>
              </w:tc>
              <w:tc>
                <w:tcPr/>
                <w:p>
                  <w:pPr>
                    <w:pStyle w:val="Compact"/>
                    <w:jc w:val="right"/>
                    <w:jc w:val="center"/>
                  </w:pPr>
                  <w:r>
                    <w:t xml:space="preserve">60.703367</w:t>
                  </w:r>
                </w:p>
              </w:tc>
              <w:tc>
                <w:tcPr/>
                <w:p>
                  <w:pPr>
                    <w:pStyle w:val="Compact"/>
                    <w:jc w:val="right"/>
                    <w:jc w:val="center"/>
                  </w:pPr>
                  <w:r>
                    <w:t xml:space="preserve">0.0647998</w:t>
                  </w:r>
                </w:p>
              </w:tc>
              <w:tc>
                <w:tcPr/>
                <w:p>
                  <w:pPr>
                    <w:pStyle w:val="Compact"/>
                    <w:jc w:val="right"/>
                    <w:jc w:val="center"/>
                  </w:pPr>
                  <w:r>
                    <w:t xml:space="preserve">0.9485818</w:t>
                  </w:r>
                </w:p>
              </w:tc>
            </w:tr>
            <w:tr>
              <w:tc>
                <w:tcPr/>
                <w:p>
                  <w:pPr>
                    <w:pStyle w:val="Compact"/>
                    <w:jc w:val="left"/>
                    <w:jc w:val="center"/>
                  </w:pPr>
                  <w:r>
                    <w:rPr>
                      <w:rStyle w:val="VerbatimChar"/>
                    </w:rPr>
                    <w:t xml:space="preserve">Fat in kg</w:t>
                  </w:r>
                </w:p>
              </w:tc>
              <w:tc>
                <w:tcPr/>
                <w:p>
                  <w:pPr>
                    <w:pStyle w:val="Compact"/>
                    <w:jc w:val="right"/>
                    <w:jc w:val="center"/>
                  </w:pPr>
                  <w:r>
                    <w:t xml:space="preserve">13.122848</w:t>
                  </w:r>
                </w:p>
              </w:tc>
              <w:tc>
                <w:tcPr/>
                <w:p>
                  <w:pPr>
                    <w:pStyle w:val="Compact"/>
                    <w:jc w:val="right"/>
                    <w:jc w:val="center"/>
                  </w:pPr>
                  <w:r>
                    <w:t xml:space="preserve">58.955129</w:t>
                  </w:r>
                </w:p>
              </w:tc>
              <w:tc>
                <w:tcPr/>
                <w:p>
                  <w:pPr>
                    <w:pStyle w:val="Compact"/>
                    <w:jc w:val="right"/>
                    <w:jc w:val="center"/>
                  </w:pPr>
                  <w:r>
                    <w:t xml:space="preserve">0.2225904</w:t>
                  </w:r>
                </w:p>
              </w:tc>
              <w:tc>
                <w:tcPr/>
                <w:p>
                  <w:pPr>
                    <w:pStyle w:val="Compact"/>
                    <w:jc w:val="right"/>
                    <w:jc w:val="center"/>
                  </w:pPr>
                  <w:r>
                    <w:t xml:space="preserve">0.8247263</w:t>
                  </w:r>
                </w:p>
              </w:tc>
            </w:tr>
            <w:tr>
              <w:tc>
                <w:tcPr/>
                <w:p>
                  <w:pPr>
                    <w:pStyle w:val="Compact"/>
                    <w:jc w:val="left"/>
                    <w:jc w:val="center"/>
                  </w:pPr>
                  <w:r>
                    <w:rPr>
                      <w:rStyle w:val="VerbatimChar"/>
                    </w:rPr>
                    <w:t xml:space="preserve">CD4+</w:t>
                  </w:r>
                </w:p>
              </w:tc>
              <w:tc>
                <w:tcPr/>
                <w:p>
                  <w:pPr>
                    <w:pStyle w:val="Compact"/>
                    <w:jc w:val="right"/>
                    <w:jc w:val="center"/>
                  </w:pPr>
                  <w:r>
                    <w:t xml:space="preserve">3.215944</w:t>
                  </w:r>
                </w:p>
              </w:tc>
              <w:tc>
                <w:tcPr/>
                <w:p>
                  <w:pPr>
                    <w:pStyle w:val="Compact"/>
                    <w:jc w:val="right"/>
                    <w:jc w:val="center"/>
                  </w:pPr>
                  <w:r>
                    <w:t xml:space="preserve">1.623752</w:t>
                  </w:r>
                </w:p>
              </w:tc>
              <w:tc>
                <w:tcPr/>
                <w:p>
                  <w:pPr>
                    <w:pStyle w:val="Compact"/>
                    <w:jc w:val="right"/>
                    <w:jc w:val="center"/>
                  </w:pPr>
                  <w:r>
                    <w:t xml:space="preserve">1.9805632</w:t>
                  </w:r>
                </w:p>
              </w:tc>
              <w:tc>
                <w:tcPr/>
                <w:p>
                  <w:pPr>
                    <w:pStyle w:val="Compact"/>
                    <w:jc w:val="right"/>
                    <w:jc w:val="center"/>
                  </w:pPr>
                  <w:r>
                    <w:t xml:space="preserve">0.0529418</w:t>
                  </w:r>
                </w:p>
              </w:tc>
            </w:tr>
          </w:tbl>
          <w:bookmarkEnd w:id="48"/>
          <w:p/>
        </w:tc>
      </w:tr>
    </w:tbl>
    <w:p>
      <w:pPr>
        <w:pStyle w:val="BodyText"/>
      </w:pPr>
      <w:r>
        <w:t xml:space="preserve">We finally considered using ML algorithm to fit our data. The Random Forest model achieved the lowest RMSE (1132), outperforming both the linear regression and LASSO models, which had RMSEs around 2107. This figure</w:t>
      </w:r>
      <w:r>
        <w:t xml:space="preserve"> </w:t>
      </w:r>
      <w:r>
        <w:t xml:space="preserve">(</w:t>
      </w:r>
      <w:r>
        <w:rPr>
          <w:bCs/>
          <w:b/>
        </w:rPr>
        <w:t xml:space="preserve">Predicted_vs_observed?</w:t>
      </w:r>
      <w:r>
        <w:t xml:space="preserve">)</w:t>
      </w:r>
      <w:r>
        <w:t xml:space="preserve"> </w:t>
      </w:r>
      <w:r>
        <w:t xml:space="preserve">shows a comparison of observed vs. predicted values for each model.</w:t>
      </w:r>
    </w:p>
    <w:p>
      <w:pPr>
        <w:pStyle w:val="BodyText"/>
      </w:pPr>
      <w:r>
        <w:t xml:space="preserve">This figure</w:t>
      </w:r>
      <w:r>
        <w:t xml:space="preserve"> </w:t>
      </w:r>
      <w:r>
        <w:t xml:space="preserve">(</w:t>
      </w:r>
      <w:r>
        <w:rPr>
          <w:bCs/>
          <w:b/>
        </w:rPr>
        <w:t xml:space="preserve">Variable_plot?</w:t>
      </w:r>
      <w:r>
        <w:t xml:space="preserve">)</w:t>
      </w:r>
      <w:r>
        <w:t xml:space="preserve"> </w:t>
      </w:r>
      <w:r>
        <w:t xml:space="preserve">shows the variable importance plot from the random forest model. This highlights the most influential predictors of CD4 immune activation. BMI, participants age, CD4+, Lean body mass(LBM) and Sex emerged as the most important features, indicating they contributed most to the model’s predictive accuracy. This suggests that body composition and biological sex may play a key role in immune activation patterns.</w:t>
      </w:r>
    </w:p>
    <w:p>
      <w:pPr>
        <w:pStyle w:val="CaptionedFigure"/>
      </w:pPr>
      <w:r>
        <w:drawing>
          <wp:inline>
            <wp:extent cx="5334000" cy="2667000"/>
            <wp:effectExtent b="0" l="0" r="0" t="0"/>
            <wp:docPr descr="predicted vs observed of three models" title="" id="50" name="Picture"/>
            <a:graphic>
              <a:graphicData uri="http://schemas.openxmlformats.org/drawingml/2006/picture">
                <pic:pic>
                  <pic:nvPicPr>
                    <pic:cNvPr descr="../../results/figures/Predicted_vs_Observed.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predicted vs observed of three models</w:t>
      </w:r>
    </w:p>
    <w:p>
      <w:pPr>
        <w:pStyle w:val="CaptionedFigure"/>
      </w:pPr>
      <w:r>
        <w:drawing>
          <wp:inline>
            <wp:extent cx="5334000" cy="2667000"/>
            <wp:effectExtent b="0" l="0" r="0" t="0"/>
            <wp:docPr descr="Variable plot from the random forests model." title="" id="53" name="Picture"/>
            <a:graphic>
              <a:graphicData uri="http://schemas.openxmlformats.org/drawingml/2006/picture">
                <pic:pic>
                  <pic:nvPicPr>
                    <pic:cNvPr descr="../../results/figures/Variable_plot.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Variable plot from the random forests model.</w:t>
      </w:r>
    </w:p>
    <w:p>
      <w:pPr>
        <w:pStyle w:val="BodyText"/>
      </w:pPr>
      <w:r>
        <w:t xml:space="preserve">We applied LASSO regression to identify preredictors of CD4 immune activation. After removing the participant ID variable, the model retained BMI (estimate = -297), CD4+ count (estimate = 514), sex (male) (estimate = 260), and lean body mass (estimate = -22.7) as non-zero coefficients. Participant age was excluded from the final model.</w:t>
      </w:r>
    </w:p>
    <w:p>
      <w:pPr>
        <w:pStyle w:val="BodyText"/>
      </w:pPr>
      <w:r>
        <w:t xml:space="preserve">Interestingly, LBM (Lean Body Mass) and Participant Age were ranked lower, suggesting they had less influence in this dataset. These findings align with the Random forest results, which also retained BMI,CD4+ lean body mass and sex as key predictors.</w:t>
      </w:r>
    </w:p>
    <w:p>
      <w:r>
        <w:br w:type="page"/>
      </w:r>
    </w:p>
    <w:bookmarkEnd w:id="55"/>
    <w:bookmarkEnd w:id="56"/>
    <w:bookmarkStart w:id="59" w:name="discussion"/>
    <w:p>
      <w:pPr>
        <w:pStyle w:val="Heading1"/>
      </w:pPr>
      <w:r>
        <w:t xml:space="preserve">5. Discussion</w:t>
      </w:r>
    </w:p>
    <w:p>
      <w:pPr>
        <w:pStyle w:val="FirstParagraph"/>
      </w:pPr>
      <w:r>
        <w:t xml:space="preserve">In this analysis of sex-based differences in TB-related immune activation, we aimed to identify key predictors of CD4 immune activation count , which we used as a proxy for severity of disease. Our hypothesis was that higher immune activation counts indicate more severe illness, and that biological sex may influence immune responses to TB.</w:t>
      </w:r>
    </w:p>
    <w:p>
      <w:pPr>
        <w:pStyle w:val="BodyText"/>
      </w:pPr>
      <w:r>
        <w:t xml:space="preserve">when we used both the LASSO regression and random forest models, we identified CD4+ count, BMI, sex, and lean body mass (LBM) as important predictors of immune activation. Our findings highlight a notable difference in CD4 immune activation count rates between males and females, with males exhibiting higher risk of TB infection and disease than females. Sex was retained as a significant predictor, with a positive coefficient (estimate = 260).</w:t>
      </w:r>
      <w:r>
        <w:t xml:space="preserve"> </w:t>
      </w:r>
      <w:r>
        <w:t xml:space="preserve">This indicated that males experienced a 260 increase in CD4 immune activation count compared to females, who served as the reference group. This suggests that males may experience more severe immune activation, supporting the hypothesis that sex-based biological differences contribute to disease severity in TB. This result aligns with previous studies that have reported sex-based disparities in health outcomes and mortality risks as a result of TB</w:t>
      </w:r>
      <w:r>
        <w:t xml:space="preserve">(6)</w:t>
      </w:r>
      <w:r>
        <w:t xml:space="preserve">,</w:t>
      </w:r>
      <w:r>
        <w:t xml:space="preserve">(7)</w:t>
      </w:r>
      <w:r>
        <w:t xml:space="preserve">. Some studies still attribute the increased risk among males to be as a result of biological differences or differences in the accessibility of resources, especially healthcare. This is generally because women have better prognosis than men and they have better health seeking behavior as compared to their male counterparts.</w:t>
      </w:r>
    </w:p>
    <w:p>
      <w:pPr>
        <w:pStyle w:val="BodyText"/>
      </w:pPr>
      <w:r>
        <w:t xml:space="preserve">Research shows that most women have higher fat repositories than men</w:t>
      </w:r>
      <w:r>
        <w:t xml:space="preserve">(8)</w:t>
      </w:r>
      <w:r>
        <w:t xml:space="preserve"> </w:t>
      </w:r>
      <w:r>
        <w:t xml:space="preserve">and some studies show that the higher the fat percentage an individual has, the lower the risk of progression of the tuberculosis infection to disease hence lowering mortality rates among females compared to men. In addition, women tend to have more lean body mass compared to men hence having a lower chance of suffering from adverse effects of TB compared to men.</w:t>
      </w:r>
    </w:p>
    <w:bookmarkStart w:id="57" w:name="strengths-and-limitations"/>
    <w:p>
      <w:pPr>
        <w:pStyle w:val="Heading2"/>
      </w:pPr>
      <w:r>
        <w:t xml:space="preserve">5.1 Strengths and Limitations</w:t>
      </w:r>
    </w:p>
    <w:p>
      <w:pPr>
        <w:pStyle w:val="FirstParagraph"/>
      </w:pPr>
      <w:r>
        <w:t xml:space="preserve">This study has several strengths. We applied simple linear regression, LASSO regression and random forest models for annalysis of our data. We were able to capture a range of relationships between predictors and immune activation, which in turn increased the robustness of our findings. The focus on sex-based differences in TB immune response addressed an important and often neglected question in infectious disease research especially among TB patients who are HIV negative. Additionally, the use of biologically meaningful predictors such as BMI, lean body mass, CD4+ count, and sex enhances the interpretability and relevance of the results. The consistency of key predictors across the LASSO model and the random forests model further supports the reliability of our conclusions. However, there are limitations to consider. The relatively small sample size may reduce the generalizability and stability of the findings. As an observational study, we are limited to identifying associations rather than making causal claims. Important clinical variables, such as TB stage or treatment history, may not have been included, potentially introducing residual confounding. Moreover, while CD4 immune activation was used as our marker for disease severity, it may not fully capture the clinical picture.</w:t>
      </w:r>
    </w:p>
    <w:p>
      <w:pPr>
        <w:pStyle w:val="BodyText"/>
      </w:pPr>
      <w:r>
        <w:t xml:space="preserve">Despite limitations of the present of our study, some studies show that Patients with wasting do not recover to the same levels of body mass as those who were not wasted. This suggests that tuberculosis may leads to permanent loss of lean tissue and fat mass.</w:t>
      </w:r>
    </w:p>
    <w:bookmarkEnd w:id="57"/>
    <w:bookmarkStart w:id="58" w:name="conclusions"/>
    <w:p>
      <w:pPr>
        <w:pStyle w:val="Heading2"/>
      </w:pPr>
      <w:r>
        <w:t xml:space="preserve">5.2 Conclusions</w:t>
      </w:r>
    </w:p>
    <w:p>
      <w:pPr>
        <w:pStyle w:val="FirstParagraph"/>
      </w:pPr>
      <w:r>
        <w:t xml:space="preserve">Our results support the hypothesis that higher immune activation is associated with greater disease severity, and demonstrate that males exhibit higher CD4 immune activation levels compared to females, indicating they may experience more intense immune responses and possibly more severe disease outcomes. These findings highlight the importance of considering sex-based biological differences in TB research and clinical management.</w:t>
      </w:r>
    </w:p>
    <w:p>
      <w:pPr>
        <w:pStyle w:val="BodyText"/>
      </w:pPr>
      <w:r>
        <w:t xml:space="preserve">In addition to sex, BMI and lean body mass emerged as important predictors, suggesting that body composition may influence the immune landscape in TB. These insights highlight the need for sex-specific approaches in TB monitoring and treatment, and point to CD4 immune activation as a potentially valuable biomarker for assessing disease severity. However, the need for future research is needed to validate these findings especially among larger populations to explore the underlying sex mechanism and body composition differences in regard to immune activation.</w:t>
      </w:r>
    </w:p>
    <w:p>
      <w:r>
        <w:br w:type="page"/>
      </w:r>
    </w:p>
    <w:bookmarkEnd w:id="58"/>
    <w:bookmarkEnd w:id="59"/>
    <w:bookmarkStart w:id="77" w:name="references"/>
    <w:p>
      <w:pPr>
        <w:pStyle w:val="Heading1"/>
      </w:pPr>
      <w:r>
        <w:t xml:space="preserve">6. References</w:t>
      </w:r>
    </w:p>
    <w:bookmarkStart w:id="76" w:name="refs"/>
    <w:bookmarkStart w:id="61"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60">
        <w:r>
          <w:rPr>
            <w:rStyle w:val="Hyperlink"/>
          </w:rPr>
          <w:t xml:space="preserve">http://dx.doi.org/10.1590/S0104-11692007000700008</w:t>
        </w:r>
      </w:hyperlink>
      <w:r>
        <w:t xml:space="preserve">)</w:t>
      </w:r>
    </w:p>
    <w:bookmarkEnd w:id="61"/>
    <w:bookmarkStart w:id="63"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2">
        <w:r>
          <w:rPr>
            <w:rStyle w:val="Hyperlink"/>
          </w:rPr>
          <w:t xml:space="preserve">http://dx.doi.org/10.1093/aje/kwx025</w:t>
        </w:r>
      </w:hyperlink>
      <w:r>
        <w:t xml:space="preserve">)</w:t>
      </w:r>
    </w:p>
    <w:bookmarkEnd w:id="63"/>
    <w:bookmarkStart w:id="65"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4">
        <w:r>
          <w:rPr>
            <w:rStyle w:val="Hyperlink"/>
          </w:rPr>
          <w:t xml:space="preserve">http://dx.doi.org/10.1016/S0140-6736(98)03199-7</w:t>
        </w:r>
      </w:hyperlink>
      <w:r>
        <w:t xml:space="preserve">)</w:t>
      </w:r>
    </w:p>
    <w:bookmarkEnd w:id="65"/>
    <w:bookmarkStart w:id="67"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6">
        <w:r>
          <w:rPr>
            <w:rStyle w:val="Hyperlink"/>
          </w:rPr>
          <w:t xml:space="preserve">http://dx.doi.org/10.3233/SHTI240053</w:t>
        </w:r>
      </w:hyperlink>
      <w:r>
        <w:t xml:space="preserve">)</w:t>
      </w:r>
    </w:p>
    <w:bookmarkEnd w:id="67"/>
    <w:bookmarkStart w:id="69" w:name="ref-CCWhalen2023"/>
    <w:p>
      <w:pPr>
        <w:pStyle w:val="Bibliography"/>
      </w:pPr>
      <w:r>
        <w:t xml:space="preserve">5.</w:t>
      </w:r>
      <w:r>
        <w:t xml:space="preserve"> </w:t>
      </w:r>
      <w:r>
        <w:t xml:space="preserve">	</w:t>
      </w:r>
      <w:r>
        <w:t xml:space="preserve">Whalen C. Sex differences in the presentation of tuberculosis in uganda. 2023;(</w:t>
      </w:r>
      <w:hyperlink r:id="rId68">
        <w:r>
          <w:rPr>
            <w:rStyle w:val="Hyperlink"/>
          </w:rPr>
          <w:t xml:space="preserve">https://dataverse.unc.edu/citation?persistentId=doi:10.15139/S3/AYOFEU</w:t>
        </w:r>
      </w:hyperlink>
      <w:r>
        <w:t xml:space="preserve">)</w:t>
      </w:r>
    </w:p>
    <w:bookmarkEnd w:id="69"/>
    <w:bookmarkStart w:id="71"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70">
        <w:r>
          <w:rPr>
            <w:rStyle w:val="Hyperlink"/>
          </w:rPr>
          <w:t xml:space="preserve">http://dx.doi.org/10.1007/s00281-018-0725-6</w:t>
        </w:r>
      </w:hyperlink>
      <w:r>
        <w:t xml:space="preserve">)</w:t>
      </w:r>
    </w:p>
    <w:bookmarkEnd w:id="71"/>
    <w:bookmarkStart w:id="73" w:name="ref-Mara2018"/>
    <w:p>
      <w:pPr>
        <w:pStyle w:val="Bibliography"/>
      </w:pPr>
      <w:r>
        <w:t xml:space="preserve">7.</w:t>
      </w:r>
      <w:r>
        <w:t xml:space="preserve"> </w:t>
      </w:r>
      <w:r>
        <w:t xml:space="preserve">	</w:t>
      </w:r>
      <w:r>
        <w:t xml:space="preserve">Marçôa R, Ribeiro AI, Zão I, et al. Tuberculosis and gender – factors influencing the risk of tuberculosis among men and women by age group.</w:t>
      </w:r>
      <w:r>
        <w:t xml:space="preserve"> </w:t>
      </w:r>
      <w:r>
        <w:rPr>
          <w:iCs/>
          <w:i/>
        </w:rPr>
        <w:t xml:space="preserve">Pulmonology</w:t>
      </w:r>
      <w:r>
        <w:t xml:space="preserve"> </w:t>
      </w:r>
      <w:r>
        <w:t xml:space="preserve">[electronic article]. 2018;24(3):199–202. (</w:t>
      </w:r>
      <w:hyperlink r:id="rId72">
        <w:r>
          <w:rPr>
            <w:rStyle w:val="Hyperlink"/>
          </w:rPr>
          <w:t xml:space="preserve">http://dx.doi.org/10.1016/j.pulmoe.2018.03.004</w:t>
        </w:r>
      </w:hyperlink>
      <w:r>
        <w:t xml:space="preserve">)</w:t>
      </w:r>
    </w:p>
    <w:bookmarkEnd w:id="73"/>
    <w:bookmarkStart w:id="75" w:name="ref-Karastergiou2012"/>
    <w:p>
      <w:pPr>
        <w:pStyle w:val="Bibliography"/>
      </w:pPr>
      <w:r>
        <w:t xml:space="preserve">8.</w:t>
      </w:r>
      <w:r>
        <w:t xml:space="preserve"> </w:t>
      </w:r>
      <w:r>
        <w:t xml:space="preserve">	</w:t>
      </w:r>
      <w:r>
        <w:t xml:space="preserve">Karastergiou K, Smith SR, Greenberg AS, et al. Sex differences in human adipose tissues – the biology of pear shape.</w:t>
      </w:r>
      <w:r>
        <w:t xml:space="preserve"> </w:t>
      </w:r>
      <w:r>
        <w:rPr>
          <w:iCs/>
          <w:i/>
        </w:rPr>
        <w:t xml:space="preserve">Biology of Sex Differences</w:t>
      </w:r>
      <w:r>
        <w:t xml:space="preserve"> </w:t>
      </w:r>
      <w:r>
        <w:t xml:space="preserve">[electronic article]. 2012;3(1). (</w:t>
      </w:r>
      <w:hyperlink r:id="rId74">
        <w:r>
          <w:rPr>
            <w:rStyle w:val="Hyperlink"/>
          </w:rPr>
          <w:t xml:space="preserve">http://dx.doi.org/10.1186/2042-6410-3-13</w:t>
        </w:r>
      </w:hyperlink>
      <w:r>
        <w:t xml:space="preserve">)</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hyperlink" Id="rId70" Target="http://dx.doi.org/10.1007/s00281-018-0725-6" TargetMode="External" /><Relationship Type="http://schemas.openxmlformats.org/officeDocument/2006/relationships/hyperlink" Id="rId64" Target="http://dx.doi.org/10.1016/S0140-6736(98)03199-7" TargetMode="External" /><Relationship Type="http://schemas.openxmlformats.org/officeDocument/2006/relationships/hyperlink" Id="rId72" Target="http://dx.doi.org/10.1016/j.pulmoe.2018.03.004" TargetMode="External" /><Relationship Type="http://schemas.openxmlformats.org/officeDocument/2006/relationships/hyperlink" Id="rId62" Target="http://dx.doi.org/10.1093/aje/kwx025" TargetMode="External" /><Relationship Type="http://schemas.openxmlformats.org/officeDocument/2006/relationships/hyperlink" Id="rId74" Target="http://dx.doi.org/10.1186/2042-6410-3-13" TargetMode="External" /><Relationship Type="http://schemas.openxmlformats.org/officeDocument/2006/relationships/hyperlink" Id="rId60" Target="http://dx.doi.org/10.1590/S0104-11692007000700008" TargetMode="External" /><Relationship Type="http://schemas.openxmlformats.org/officeDocument/2006/relationships/hyperlink" Id="rId66" Target="http://dx.doi.org/10.3233/SHTI240053" TargetMode="External" /><Relationship Type="http://schemas.openxmlformats.org/officeDocument/2006/relationships/hyperlink" Id="rId68" Target="https://dataverse.unc.edu/citation?persistentId=doi:10.15139/S3/AYOFEU" TargetMode="External" /></Relationships>
</file>

<file path=word/_rels/footnotes.xml.rels><?xml version="1.0" encoding="UTF-8"?><Relationships xmlns="http://schemas.openxmlformats.org/package/2006/relationships"><Relationship Type="http://schemas.openxmlformats.org/officeDocument/2006/relationships/hyperlink" Id="rId70" Target="http://dx.doi.org/10.1007/s00281-018-0725-6" TargetMode="External" /><Relationship Type="http://schemas.openxmlformats.org/officeDocument/2006/relationships/hyperlink" Id="rId64" Target="http://dx.doi.org/10.1016/S0140-6736(98)03199-7" TargetMode="External" /><Relationship Type="http://schemas.openxmlformats.org/officeDocument/2006/relationships/hyperlink" Id="rId72" Target="http://dx.doi.org/10.1016/j.pulmoe.2018.03.004" TargetMode="External" /><Relationship Type="http://schemas.openxmlformats.org/officeDocument/2006/relationships/hyperlink" Id="rId62" Target="http://dx.doi.org/10.1093/aje/kwx025" TargetMode="External" /><Relationship Type="http://schemas.openxmlformats.org/officeDocument/2006/relationships/hyperlink" Id="rId74" Target="http://dx.doi.org/10.1186/2042-6410-3-13" TargetMode="External" /><Relationship Type="http://schemas.openxmlformats.org/officeDocument/2006/relationships/hyperlink" Id="rId60" Target="http://dx.doi.org/10.1590/S0104-11692007000700008" TargetMode="External" /><Relationship Type="http://schemas.openxmlformats.org/officeDocument/2006/relationships/hyperlink" Id="rId66" Target="http://dx.doi.org/10.3233/SHTI240053" TargetMode="External" /><Relationship Type="http://schemas.openxmlformats.org/officeDocument/2006/relationships/hyperlink" Id="rId68" Target="https://dataverse.unc.edu/citation?persistentId=doi:10.15139/S3/AYOFE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2025-04-08T02:13:31Z</dcterms:created>
  <dcterms:modified xsi:type="dcterms:W3CDTF">2025-04-08T02:13:31Z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