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4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Tuberculosis is one of the leading causes of death in the world.According to NIH reports, tuberculosis (TB), afflicts more human males than females, with a ratio of 1.7 males to female. The disease is still endemic in most of the sub-Saharan African countries. In Uganda, for every one case of tuberculosis reported, there are at least three cases of tuberculosis that are not identified and its because of these cases that the disease remains prevalent in the country. Previous studies show that there are differences in the immune activation of TB among men and women. In this study, we aim to explore possible underlying hormonal and genetic mechanisms that might contribute to differences in the immune activation among females and males.</w:t>
      </w:r>
    </w:p>
    <w:p>
      <w:pPr>
        <w:pStyle w:val="BodyText"/>
      </w:pPr>
      <w:r>
        <w:t xml:space="preserve">#Methods</w:t>
      </w:r>
      <w:r>
        <w:t xml:space="preserve"> </w:t>
      </w:r>
      <w:r>
        <w:t xml:space="preserve">We utilized data from a tuberculosis public repository available through Tidyverse (https://dataverse.unc.edu/dataset.xhtml?persistentId=doi:10.15139/S3/AYOFEU). The dataset comprises 60 individuals - 30 males and 30 females. All participants were HIV-negative and tuberculosis-free at the time of enrollment.</w:t>
      </w:r>
    </w:p>
    <w:p>
      <w:pPr>
        <w:pStyle w:val="BodyText"/>
      </w:pPr>
      <w:r>
        <w:t xml:space="preserve">The key variables in our analysis include:</w:t>
      </w:r>
    </w:p>
    <w:p>
      <w:pPr>
        <w:pStyle w:val="BodyText"/>
      </w:pPr>
      <w:r>
        <w:t xml:space="preserve">CD4 immune activation count</w:t>
      </w:r>
      <w:r>
        <w:t xml:space="preserve"> </w:t>
      </w:r>
      <w:r>
        <w:t xml:space="preserve">Disease severity indicators (extent of lung disease and number of lungs involved)</w:t>
      </w:r>
      <w:r>
        <w:t xml:space="preserve"> </w:t>
      </w:r>
      <w:r>
        <w:t xml:space="preserve">Fat in kilograms</w:t>
      </w:r>
      <w:r>
        <w:t xml:space="preserve"> </w:t>
      </w:r>
      <w:r>
        <w:t xml:space="preserve">Sex/Gender</w:t>
      </w:r>
      <w:r>
        <w:t xml:space="preserve"> </w:t>
      </w:r>
      <w:r>
        <w:t xml:space="preserve">BMI</w:t>
      </w:r>
      <w:r>
        <w:t xml:space="preserve"> </w:t>
      </w:r>
      <w:r>
        <w:t xml:space="preserve">Age of participant</w:t>
      </w:r>
      <w:r>
        <w:t xml:space="preserve"> </w:t>
      </w:r>
      <w:r>
        <w:t xml:space="preserve">These demographic and clinical variables form the foundation of our investigation into tuberculosis-related immune responses.</w:t>
      </w:r>
    </w:p>
    <w:p>
      <w:pPr>
        <w:pStyle w:val="BodyText"/>
      </w:pPr>
      <w:r>
        <w:t xml:space="preserve">#Proposed Analysis Method.</w:t>
      </w:r>
    </w:p>
    <w:p>
      <w:pPr>
        <w:pStyle w:val="BodyText"/>
      </w:pPr>
      <w:r>
        <w:t xml:space="preserve">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r>
        <w:t xml:space="preserve"> </w:t>
      </w:r>
      <w:r>
        <w:t xml:space="preserve"># Results</w:t>
      </w:r>
    </w:p>
    <w:p>
      <w:pPr>
        <w:pStyle w:val="BodyText"/>
      </w:pPr>
      <w:r>
        <w:t xml:space="preserve">Our analysis revealed a statistically significant difference in CD4 immune activation counts between males and females. On average, females showed lower CD4 activation counts than males (mean difference = 413) indicating less immune activation in females and a true difference in the body fat between females and males (mean difference = 17.76 95%CI (7.097298 29.972199).</w:t>
      </w:r>
    </w:p>
    <w:p>
      <w:pPr>
        <w:pStyle w:val="BodyText"/>
      </w:pPr>
      <w:r>
        <w:t xml:space="preserve">Linear regression models adjusted for age, BMI, and fat mass demonstrated that male sex was independently associated with higher CD4 immune activation (β = 692.58 95% CI = [-786.97, 2172.13]).</w:t>
      </w:r>
    </w:p>
    <w:p>
      <w:pPr>
        <w:pStyle w:val="BodyText"/>
      </w:pPr>
      <w:r>
        <w:t xml:space="preserve">Disease severity indicators were more strongly associated with immune activation in males than in females, suggesting a sex-based difference in how immune response relates to disease burden.</w:t>
      </w:r>
    </w:p>
    <w:p>
      <w:pPr>
        <w:pStyle w:val="BodyText"/>
      </w:pPr>
      <w:r>
        <w:t xml:space="preserve">The LASSO and Random Forest models identified BMI, sex, CD4+, LBM as the most important predictors of immune activation. These findings support the hypothesis that sex-based physiological differences, particularly in fat composition, contribute to variability in immune activation and disease severity in tuberculosis.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4.4.3</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CommentTok"/>
        </w:rPr>
        <w:t xml:space="preserve">#summary(data)</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Organization, among other institutions, attributes differences in tuberculosis trends between men and women to several factors: access to care and treatment, pregnancy effects, body fat mass, and gender roles that diminish women’s social capital, thereby lowering incidence among them</w:t>
      </w:r>
      <w:r>
        <w:t xml:space="preserve"> </w:t>
      </w:r>
      <w:r>
        <w:t xml:space="preserve">(5)</w:t>
      </w:r>
      <w:r>
        <w:t xml:space="preserve">. Worldwide, epidemiological data indicate that tuberculosis (TB) rates among HIV-negative men have consistently been higher than among women for many decades</w:t>
      </w:r>
      <w:r>
        <w:t xml:space="preserve"> </w:t>
      </w:r>
      <w:r>
        <w:t xml:space="preserve">(6)</w:t>
      </w:r>
      <w:r>
        <w:t xml:space="preserve">. While biological mechanisms likely influence these differences, previous studies demonstrate that men experience higher incidence and prevalence of disease, potentially leading to poorer treatment outcomes compared to women. According to an analysis conducted in 2000, TB prevalence among males exceeded that among females in 27 (93%) of 29 prevalence surveys conducted across 14 countries between 1953 and 1997</w:t>
      </w:r>
      <w:r>
        <w:t xml:space="preserve"> </w:t>
      </w:r>
      <w:r>
        <w:t xml:space="preserve">(6)</w:t>
      </w:r>
      <w:r>
        <w:t xml:space="preserve">.</w:t>
      </w:r>
    </w:p>
    <w:p>
      <w:pPr>
        <w:pStyle w:val="BodyText"/>
      </w:pPr>
      <w:r>
        <w:t xml:space="preserve">Other studies have highlighted that body fat plays an important role in supporting immune function, with women typically maintaining higher fat storage than men. This increased fat storage may contribute to women’s stronger immune responses. While these differences are partly attributed to women’s better healthcare-seeking behaviors, factors such as fat distribution, hormonal profiles, body composition, lean tissue mass, and other biological characteristics differ significantly between sexes, particularly at disease presentation. The objective of this study is to determine whether higher immune activation counts correlate with greater infection severity or illness progression.</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(7)</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1"/>
    <w:bookmarkEnd w:id="32"/>
    <w:bookmarkStart w:id="45" w:name="results"/>
    <w:p>
      <w:pPr>
        <w:pStyle w:val="Heading1"/>
      </w:pPr>
      <w:r>
        <w:t xml:space="preserve">4. Results</w:t>
      </w:r>
    </w:p>
    <w:bookmarkStart w:id="33" w:name="exploratorydescriptive-analysis"/>
    <w:p>
      <w:pPr>
        <w:pStyle w:val="Heading2"/>
      </w:pPr>
      <w:r>
        <w:t xml:space="preserve">4.1 Exploratory/Descriptive analysis</w:t>
      </w:r>
    </w:p>
    <w:p>
      <w:pPr>
        <w:pStyle w:val="FirstParagraph"/>
      </w:pPr>
      <w:r>
        <w:t xml:space="preserve">We conducted a thorough data exploration using various visualization techniques and summary tables. Our analysis included box plots, histograms, and correlation plots to identify meaningful patterns in the dataset. We employed scatter plots to examine trends and investigate potential relationships between continuous variables. This comprehensive approach allowed us to uncover several interesting insights within the data.</w:t>
      </w:r>
    </w:p>
    <w:p>
      <w:pPr>
        <w:pStyle w:val="BodyText"/>
      </w:pPr>
      <w:r>
        <w:t xml:space="preserve">(</w:t>
      </w:r>
      <w:r>
        <w:rPr>
          <w:bCs/>
          <w:b/>
        </w:rPr>
        <w:t xml:space="preserve">Table1?</w:t>
      </w:r>
      <w:r>
        <w:t xml:space="preserve">)</w:t>
      </w:r>
      <w:r>
        <w:t xml:space="preserve"> </w:t>
      </w:r>
      <w:r>
        <w:t xml:space="preserve">shows the summary statistics of our data variables.</w:t>
      </w:r>
    </w:p>
    <w:p>
      <w:pPr>
        <w:pStyle w:val="SourceCode"/>
      </w:pPr>
      <w:r>
        <w:rPr>
          <w:rStyle w:val="CommentTok"/>
        </w:rPr>
        <w:t xml:space="preserve"># Load the table</w:t>
      </w:r>
      <w:r>
        <w:br/>
      </w:r>
      <w:r>
        <w:rPr>
          <w:rStyle w:val="CommentTok"/>
        </w:rPr>
        <w:t xml:space="preserve">#table1 &lt;- readRDS(here::here("results", "tables", "TABLE1.rds"))</w:t>
      </w:r>
      <w:r>
        <w:br/>
      </w:r>
      <w:r>
        <w:rPr>
          <w:rStyle w:val="CommentTok"/>
        </w:rPr>
        <w:t xml:space="preserve">#| label: table-Table1</w:t>
      </w:r>
      <w:r>
        <w:br/>
      </w:r>
      <w:r>
        <w:rPr>
          <w:rStyle w:val="CommentTok"/>
        </w:rPr>
        <w:t xml:space="preserve">#| tbl-cap: "Summary distribution of baseline characteristics among males and females."</w:t>
      </w:r>
      <w:r>
        <w:br/>
      </w:r>
      <w:r>
        <w:rPr>
          <w:rStyle w:val="CommentTok"/>
        </w:rPr>
        <w:t xml:space="preserve">#| echo: FALSE</w:t>
      </w:r>
      <w:r>
        <w:br/>
      </w:r>
      <w:r>
        <w:br/>
      </w:r>
      <w:r>
        <w:rPr>
          <w:rStyle w:val="CommentTok"/>
        </w:rPr>
        <w:t xml:space="preserve"># Display the table (use knitr::kable, gt, or another display function)</w:t>
      </w:r>
      <w:r>
        <w:br/>
      </w:r>
      <w:r>
        <w:rPr>
          <w:rStyle w:val="NormalTok"/>
        </w:rPr>
        <w:t xml:space="preserve">knitr</w:t>
      </w:r>
      <w:r>
        <w:rPr>
          <w:rStyle w:val="SpecialCharTok"/>
        </w:rPr>
        <w:t xml:space="preserve">::</w:t>
      </w:r>
      <w:r>
        <w:rPr>
          <w:rStyle w:val="FunctionTok"/>
        </w:rPr>
        <w:t xml:space="preserve">kable</w:t>
      </w:r>
      <w:r>
        <w:rPr>
          <w:rStyle w:val="NormalTok"/>
        </w:rPr>
        <w:t xml:space="preserve">(table1)</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country</w:t>
            </w:r>
          </w:p>
        </w:tc>
        <w:tc>
          <w:tcPr/>
          <w:p>
            <w:pPr>
              <w:pStyle w:val="Compact"/>
              <w:jc w:val="right"/>
            </w:pPr>
            <w:r>
              <w:t xml:space="preserve">year</w:t>
            </w:r>
          </w:p>
        </w:tc>
        <w:tc>
          <w:tcPr/>
          <w:p>
            <w:pPr>
              <w:pStyle w:val="Compact"/>
              <w:jc w:val="right"/>
            </w:pPr>
            <w:r>
              <w:t xml:space="preserve">cases</w:t>
            </w:r>
          </w:p>
        </w:tc>
        <w:tc>
          <w:tcPr/>
          <w:p>
            <w:pPr>
              <w:pStyle w:val="Compact"/>
              <w:jc w:val="right"/>
            </w:pPr>
            <w:r>
              <w:t xml:space="preserve">population</w:t>
            </w:r>
          </w:p>
        </w:tc>
      </w:tr>
      <w:tr>
        <w:tc>
          <w:tcPr/>
          <w:p>
            <w:pPr>
              <w:pStyle w:val="Compact"/>
              <w:jc w:val="left"/>
            </w:pPr>
            <w:r>
              <w:t xml:space="preserve">Afghanistan</w:t>
            </w:r>
          </w:p>
        </w:tc>
        <w:tc>
          <w:tcPr/>
          <w:p>
            <w:pPr>
              <w:pStyle w:val="Compact"/>
              <w:jc w:val="right"/>
            </w:pPr>
            <w:r>
              <w:t xml:space="preserve">1999</w:t>
            </w:r>
          </w:p>
        </w:tc>
        <w:tc>
          <w:tcPr/>
          <w:p>
            <w:pPr>
              <w:pStyle w:val="Compact"/>
              <w:jc w:val="right"/>
            </w:pPr>
            <w:r>
              <w:t xml:space="preserve">745</w:t>
            </w:r>
          </w:p>
        </w:tc>
        <w:tc>
          <w:tcPr/>
          <w:p>
            <w:pPr>
              <w:pStyle w:val="Compact"/>
              <w:jc w:val="right"/>
            </w:pPr>
            <w:r>
              <w:t xml:space="preserve">19987071</w:t>
            </w:r>
          </w:p>
        </w:tc>
      </w:tr>
      <w:tr>
        <w:tc>
          <w:tcPr/>
          <w:p>
            <w:pPr>
              <w:pStyle w:val="Compact"/>
              <w:jc w:val="left"/>
            </w:pPr>
            <w:r>
              <w:t xml:space="preserve">Afghanistan</w:t>
            </w:r>
          </w:p>
        </w:tc>
        <w:tc>
          <w:tcPr/>
          <w:p>
            <w:pPr>
              <w:pStyle w:val="Compact"/>
              <w:jc w:val="right"/>
            </w:pPr>
            <w:r>
              <w:t xml:space="preserve">2000</w:t>
            </w:r>
          </w:p>
        </w:tc>
        <w:tc>
          <w:tcPr/>
          <w:p>
            <w:pPr>
              <w:pStyle w:val="Compact"/>
              <w:jc w:val="right"/>
            </w:pPr>
            <w:r>
              <w:t xml:space="preserve">2666</w:t>
            </w:r>
          </w:p>
        </w:tc>
        <w:tc>
          <w:tcPr/>
          <w:p>
            <w:pPr>
              <w:pStyle w:val="Compact"/>
              <w:jc w:val="right"/>
            </w:pPr>
            <w:r>
              <w:t xml:space="preserve">20595360</w:t>
            </w:r>
          </w:p>
        </w:tc>
      </w:tr>
      <w:tr>
        <w:tc>
          <w:tcPr/>
          <w:p>
            <w:pPr>
              <w:pStyle w:val="Compact"/>
              <w:jc w:val="left"/>
            </w:pPr>
            <w:r>
              <w:t xml:space="preserve">Brazil</w:t>
            </w:r>
          </w:p>
        </w:tc>
        <w:tc>
          <w:tcPr/>
          <w:p>
            <w:pPr>
              <w:pStyle w:val="Compact"/>
              <w:jc w:val="right"/>
            </w:pPr>
            <w:r>
              <w:t xml:space="preserve">1999</w:t>
            </w:r>
          </w:p>
        </w:tc>
        <w:tc>
          <w:tcPr/>
          <w:p>
            <w:pPr>
              <w:pStyle w:val="Compact"/>
              <w:jc w:val="right"/>
            </w:pPr>
            <w:r>
              <w:t xml:space="preserve">37737</w:t>
            </w:r>
          </w:p>
        </w:tc>
        <w:tc>
          <w:tcPr/>
          <w:p>
            <w:pPr>
              <w:pStyle w:val="Compact"/>
              <w:jc w:val="right"/>
            </w:pPr>
            <w:r>
              <w:t xml:space="preserve">172006362</w:t>
            </w:r>
          </w:p>
        </w:tc>
      </w:tr>
      <w:tr>
        <w:tc>
          <w:tcPr/>
          <w:p>
            <w:pPr>
              <w:pStyle w:val="Compact"/>
              <w:jc w:val="left"/>
            </w:pPr>
            <w:r>
              <w:t xml:space="preserve">Brazil</w:t>
            </w:r>
          </w:p>
        </w:tc>
        <w:tc>
          <w:tcPr/>
          <w:p>
            <w:pPr>
              <w:pStyle w:val="Compact"/>
              <w:jc w:val="right"/>
            </w:pPr>
            <w:r>
              <w:t xml:space="preserve">2000</w:t>
            </w:r>
          </w:p>
        </w:tc>
        <w:tc>
          <w:tcPr/>
          <w:p>
            <w:pPr>
              <w:pStyle w:val="Compact"/>
              <w:jc w:val="right"/>
            </w:pPr>
            <w:r>
              <w:t xml:space="preserve">80488</w:t>
            </w:r>
          </w:p>
        </w:tc>
        <w:tc>
          <w:tcPr/>
          <w:p>
            <w:pPr>
              <w:pStyle w:val="Compact"/>
              <w:jc w:val="right"/>
            </w:pPr>
            <w:r>
              <w:t xml:space="preserve">174504898</w:t>
            </w:r>
          </w:p>
        </w:tc>
      </w:tr>
      <w:tr>
        <w:tc>
          <w:tcPr/>
          <w:p>
            <w:pPr>
              <w:pStyle w:val="Compact"/>
              <w:jc w:val="left"/>
            </w:pPr>
            <w:r>
              <w:t xml:space="preserve">China</w:t>
            </w:r>
          </w:p>
        </w:tc>
        <w:tc>
          <w:tcPr/>
          <w:p>
            <w:pPr>
              <w:pStyle w:val="Compact"/>
              <w:jc w:val="right"/>
            </w:pPr>
            <w:r>
              <w:t xml:space="preserve">1999</w:t>
            </w:r>
          </w:p>
        </w:tc>
        <w:tc>
          <w:tcPr/>
          <w:p>
            <w:pPr>
              <w:pStyle w:val="Compact"/>
              <w:jc w:val="right"/>
            </w:pPr>
            <w:r>
              <w:t xml:space="preserve">212258</w:t>
            </w:r>
          </w:p>
        </w:tc>
        <w:tc>
          <w:tcPr/>
          <w:p>
            <w:pPr>
              <w:pStyle w:val="Compact"/>
              <w:jc w:val="right"/>
            </w:pPr>
            <w:r>
              <w:t xml:space="preserve">1272915272</w:t>
            </w:r>
          </w:p>
        </w:tc>
      </w:tr>
      <w:tr>
        <w:tc>
          <w:tcPr/>
          <w:p>
            <w:pPr>
              <w:pStyle w:val="Compact"/>
              <w:jc w:val="left"/>
            </w:pPr>
            <w:r>
              <w:t xml:space="preserve">China</w:t>
            </w:r>
          </w:p>
        </w:tc>
        <w:tc>
          <w:tcPr/>
          <w:p>
            <w:pPr>
              <w:pStyle w:val="Compact"/>
              <w:jc w:val="right"/>
            </w:pPr>
            <w:r>
              <w:t xml:space="preserve">2000</w:t>
            </w:r>
          </w:p>
        </w:tc>
        <w:tc>
          <w:tcPr/>
          <w:p>
            <w:pPr>
              <w:pStyle w:val="Compact"/>
              <w:jc w:val="right"/>
            </w:pPr>
            <w:r>
              <w:t xml:space="preserve">213766</w:t>
            </w:r>
          </w:p>
        </w:tc>
        <w:tc>
          <w:tcPr/>
          <w:p>
            <w:pPr>
              <w:pStyle w:val="Compact"/>
              <w:jc w:val="right"/>
            </w:pPr>
            <w:r>
              <w:t xml:space="preserve">1280428583</w:t>
            </w:r>
          </w:p>
        </w:tc>
      </w:tr>
    </w:tbl>
    <w:bookmarkEnd w:id="33"/>
    <w:bookmarkStart w:id="37" w:name="basic-statistical-analysis"/>
    <w:p>
      <w:pPr>
        <w:pStyle w:val="Heading2"/>
      </w:pPr>
      <w:r>
        <w:t xml:space="preserve">4.2 Basic statistical analysis</w:t>
      </w:r>
    </w:p>
    <w:p>
      <w:pPr>
        <w:pStyle w:val="FirstParagraph"/>
      </w:pPr>
      <w:r>
        <w:t xml:space="preserve">We employed a simple linear model to investigate the potential association between our primary outcome, CD4 immune activation count, and our main predictor variable, sex. To enhance the model’s explanatory power, we incorporated additional predictors that might influence immune activation counts through multivariate linear regression analysis.</w:t>
      </w:r>
    </w:p>
    <w:p>
      <w:pPr>
        <w:pStyle w:val="BodyText"/>
      </w:pPr>
      <w:r>
        <w:t xml:space="preserve">Given that fat content serves as a contributing factor to immune activation in disease progression, individuals with higher fat percentages typically demonstrate reduced susceptibility to tuberculosis, and vice versa. We analyzed the distribution of fat composition between men and women. Figure</w:t>
      </w:r>
      <w:r>
        <w:t xml:space="preserve"> </w:t>
      </w:r>
      <w:r>
        <w:t xml:space="preserve">(</w:t>
      </w:r>
      <w:r>
        <w:rPr>
          <w:bCs/>
          <w:b/>
        </w:rPr>
        <w:t xml:space="preserve">plot2-result?</w:t>
      </w:r>
      <w:r>
        <w:t xml:space="preserve">)</w:t>
      </w:r>
      <w:r>
        <w:t xml:space="preserve"> </w:t>
      </w:r>
      <w:r>
        <w:t xml:space="preserve">presents a boxplot illustrating the distribution of fat in kilograms across male and female participants.</w:t>
      </w:r>
    </w:p>
    <w:p>
      <w:pPr>
        <w:pStyle w:val="CaptionedFigure"/>
      </w:pPr>
      <w:r>
        <w:drawing>
          <wp:inline>
            <wp:extent cx="4587290" cy="3486341"/>
            <wp:effectExtent b="0" l="0" r="0" t="0"/>
            <wp:docPr descr="Box plot showing Fat in kg among males and females." title="" id="35" name="Picture"/>
            <a:graphic>
              <a:graphicData uri="http://schemas.openxmlformats.org/drawingml/2006/picture">
                <pic:pic>
                  <pic:nvPicPr>
                    <pic:cNvPr descr="../../results/figures/boxplot2.png" id="36" name="Picture"/>
                    <pic:cNvPicPr>
                      <a:picLocks noChangeArrowheads="1" noChangeAspect="1"/>
                    </pic:cNvPicPr>
                  </pic:nvPicPr>
                  <pic:blipFill>
                    <a:blip r:embed="rId3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37"/>
    <w:bookmarkStart w:id="44"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39" name="Picture"/>
            <a:graphic>
              <a:graphicData uri="http://schemas.openxmlformats.org/drawingml/2006/picture">
                <pic:pic>
                  <pic:nvPicPr>
                    <pic:cNvPr descr="../../results/figures/Predicted_vs_Observed.pn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42" name="Picture"/>
            <a:graphic>
              <a:graphicData uri="http://schemas.openxmlformats.org/drawingml/2006/picture">
                <pic:pic>
                  <pic:nvPicPr>
                    <pic:cNvPr descr="../../results/figures/Variable_plot.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44"/>
    <w:bookmarkEnd w:id="45"/>
    <w:bookmarkStart w:id="48"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(7)</w:t>
      </w:r>
      <w:r>
        <w:t xml:space="preserve">,</w:t>
      </w:r>
      <w:r>
        <w:t xml:space="preserve">(8)</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(9)</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46"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46"/>
    <w:bookmarkStart w:id="47"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47"/>
    <w:bookmarkEnd w:id="48"/>
    <w:bookmarkStart w:id="68" w:name="references"/>
    <w:p>
      <w:pPr>
        <w:pStyle w:val="Heading1"/>
      </w:pPr>
      <w:r>
        <w:t xml:space="preserve">6. References</w:t>
      </w:r>
    </w:p>
    <w:bookmarkStart w:id="67" w:name="refs"/>
    <w:bookmarkStart w:id="50"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49">
        <w:r>
          <w:rPr>
            <w:rStyle w:val="Hyperlink"/>
          </w:rPr>
          <w:t xml:space="preserve">http://dx.doi.org/10.1590/S0104-11692007000700008</w:t>
        </w:r>
      </w:hyperlink>
      <w:r>
        <w:t xml:space="preserve">)</w:t>
      </w:r>
    </w:p>
    <w:bookmarkEnd w:id="50"/>
    <w:bookmarkStart w:id="52"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1">
        <w:r>
          <w:rPr>
            <w:rStyle w:val="Hyperlink"/>
          </w:rPr>
          <w:t xml:space="preserve">http://dx.doi.org/10.1093/aje/kwx025</w:t>
        </w:r>
      </w:hyperlink>
      <w:r>
        <w:t xml:space="preserve">)</w:t>
      </w:r>
    </w:p>
    <w:bookmarkEnd w:id="52"/>
    <w:bookmarkStart w:id="54"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53">
        <w:r>
          <w:rPr>
            <w:rStyle w:val="Hyperlink"/>
          </w:rPr>
          <w:t xml:space="preserve">http://dx.doi.org/10.1016/S0140-6736(98)03199-7</w:t>
        </w:r>
      </w:hyperlink>
      <w:r>
        <w:t xml:space="preserve">)</w:t>
      </w:r>
    </w:p>
    <w:bookmarkEnd w:id="54"/>
    <w:bookmarkStart w:id="56"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55">
        <w:r>
          <w:rPr>
            <w:rStyle w:val="Hyperlink"/>
          </w:rPr>
          <w:t xml:space="preserve">http://dx.doi.org/10.3233/SHTI240053</w:t>
        </w:r>
      </w:hyperlink>
      <w:r>
        <w:t xml:space="preserve">)</w:t>
      </w:r>
    </w:p>
    <w:bookmarkEnd w:id="56"/>
    <w:bookmarkStart w:id="58" w:name="ref-CCWhalen2023"/>
    <w:p>
      <w:pPr>
        <w:pStyle w:val="Bibliography"/>
      </w:pPr>
      <w:r>
        <w:t xml:space="preserve">5.</w:t>
      </w:r>
      <w:r>
        <w:t xml:space="preserve"> </w:t>
      </w:r>
      <w:r>
        <w:t xml:space="preserve">	</w:t>
      </w:r>
      <w:r>
        <w:t xml:space="preserve">Whalen C. Sex differences in the presentation of tuberculosis in uganda. 2023;(</w:t>
      </w:r>
      <w:hyperlink r:id="rId57">
        <w:r>
          <w:rPr>
            <w:rStyle w:val="Hyperlink"/>
          </w:rPr>
          <w:t xml:space="preserve">https://dataverse.unc.edu/citation?persistentId=doi:10.15139/S3/AYOFEU</w:t>
        </w:r>
      </w:hyperlink>
      <w:r>
        <w:t xml:space="preserve">)</w:t>
      </w:r>
    </w:p>
    <w:bookmarkEnd w:id="58"/>
    <w:bookmarkStart w:id="60" w:name="ref-Horton2016"/>
    <w:p>
      <w:pPr>
        <w:pStyle w:val="Bibliography"/>
      </w:pPr>
      <w:r>
        <w:t xml:space="preserve">6.</w:t>
      </w:r>
      <w:r>
        <w:t xml:space="preserve"> </w:t>
      </w:r>
      <w:r>
        <w:t xml:space="preserve">	</w:t>
      </w:r>
      <w:r>
        <w:t xml:space="preserve">Horton KC, MacPherson P, Houben RMGJ, et al. Sex differences in tuberculosis burden and notifications in low- and middle-income countries: A systematic review and meta-analysis.</w:t>
      </w:r>
      <w:r>
        <w:t xml:space="preserve"> </w:t>
      </w:r>
      <w:r>
        <w:rPr>
          <w:iCs/>
          <w:i/>
        </w:rPr>
        <w:t xml:space="preserve">PLOS Medicine</w:t>
      </w:r>
      <w:r>
        <w:t xml:space="preserve"> </w:t>
      </w:r>
      <w:r>
        <w:t xml:space="preserve">[electronic article]. 2016;13(9):e1002119. (</w:t>
      </w:r>
      <w:hyperlink r:id="rId59">
        <w:r>
          <w:rPr>
            <w:rStyle w:val="Hyperlink"/>
          </w:rPr>
          <w:t xml:space="preserve">http://dx.doi.org/10.1371/journal.pmed.1002119</w:t>
        </w:r>
      </w:hyperlink>
      <w:r>
        <w:t xml:space="preserve">)</w:t>
      </w:r>
    </w:p>
    <w:bookmarkEnd w:id="60"/>
    <w:bookmarkStart w:id="62" w:name="ref-Hertz2018"/>
    <w:p>
      <w:pPr>
        <w:pStyle w:val="Bibliography"/>
      </w:pPr>
      <w:r>
        <w:t xml:space="preserve">7.</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1">
        <w:r>
          <w:rPr>
            <w:rStyle w:val="Hyperlink"/>
          </w:rPr>
          <w:t xml:space="preserve">http://dx.doi.org/10.1007/s00281-018-0725-6</w:t>
        </w:r>
      </w:hyperlink>
      <w:r>
        <w:t xml:space="preserve">)</w:t>
      </w:r>
    </w:p>
    <w:bookmarkEnd w:id="62"/>
    <w:bookmarkStart w:id="64" w:name="ref-Mara2018"/>
    <w:p>
      <w:pPr>
        <w:pStyle w:val="Bibliography"/>
      </w:pPr>
      <w:r>
        <w:t xml:space="preserve">8.</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3">
        <w:r>
          <w:rPr>
            <w:rStyle w:val="Hyperlink"/>
          </w:rPr>
          <w:t xml:space="preserve">http://dx.doi.org/10.1016/j.pulmoe.2018.03.004</w:t>
        </w:r>
      </w:hyperlink>
      <w:r>
        <w:t xml:space="preserve">)</w:t>
      </w:r>
    </w:p>
    <w:bookmarkEnd w:id="64"/>
    <w:bookmarkStart w:id="66" w:name="ref-Karastergiou2012"/>
    <w:p>
      <w:pPr>
        <w:pStyle w:val="Bibliography"/>
      </w:pPr>
      <w:r>
        <w:t xml:space="preserve">9.</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65">
        <w:r>
          <w:rPr>
            <w:rStyle w:val="Hyperlink"/>
          </w:rPr>
          <w:t xml:space="preserve">http://dx.doi.org/10.1186/2042-6410-3-13</w:t>
        </w:r>
      </w:hyperlink>
      <w:r>
        <w:t xml:space="preserve">)</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hyperlink" Id="rId61" Target="http://dx.doi.org/10.1007/s00281-018-0725-6" TargetMode="External" /><Relationship Type="http://schemas.openxmlformats.org/officeDocument/2006/relationships/hyperlink" Id="rId53" Target="http://dx.doi.org/10.1016/S0140-6736(98)03199-7" TargetMode="External" /><Relationship Type="http://schemas.openxmlformats.org/officeDocument/2006/relationships/hyperlink" Id="rId63" Target="http://dx.doi.org/10.1016/j.pulmoe.2018.03.004" TargetMode="External" /><Relationship Type="http://schemas.openxmlformats.org/officeDocument/2006/relationships/hyperlink" Id="rId51" Target="http://dx.doi.org/10.1093/aje/kwx025" TargetMode="External" /><Relationship Type="http://schemas.openxmlformats.org/officeDocument/2006/relationships/hyperlink" Id="rId65" Target="http://dx.doi.org/10.1186/2042-6410-3-13" TargetMode="External" /><Relationship Type="http://schemas.openxmlformats.org/officeDocument/2006/relationships/hyperlink" Id="rId59" Target="http://dx.doi.org/10.1371/journal.pmed.1002119" TargetMode="External" /><Relationship Type="http://schemas.openxmlformats.org/officeDocument/2006/relationships/hyperlink" Id="rId49" Target="http://dx.doi.org/10.1590/S0104-11692007000700008" TargetMode="External" /><Relationship Type="http://schemas.openxmlformats.org/officeDocument/2006/relationships/hyperlink" Id="rId55" Target="http://dx.doi.org/10.3233/SHTI240053" TargetMode="External" /><Relationship Type="http://schemas.openxmlformats.org/officeDocument/2006/relationships/hyperlink" Id="rId57"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1" Target="http://dx.doi.org/10.1007/s00281-018-0725-6" TargetMode="External" /><Relationship Type="http://schemas.openxmlformats.org/officeDocument/2006/relationships/hyperlink" Id="rId53" Target="http://dx.doi.org/10.1016/S0140-6736(98)03199-7" TargetMode="External" /><Relationship Type="http://schemas.openxmlformats.org/officeDocument/2006/relationships/hyperlink" Id="rId63" Target="http://dx.doi.org/10.1016/j.pulmoe.2018.03.004" TargetMode="External" /><Relationship Type="http://schemas.openxmlformats.org/officeDocument/2006/relationships/hyperlink" Id="rId51" Target="http://dx.doi.org/10.1093/aje/kwx025" TargetMode="External" /><Relationship Type="http://schemas.openxmlformats.org/officeDocument/2006/relationships/hyperlink" Id="rId65" Target="http://dx.doi.org/10.1186/2042-6410-3-13" TargetMode="External" /><Relationship Type="http://schemas.openxmlformats.org/officeDocument/2006/relationships/hyperlink" Id="rId59" Target="http://dx.doi.org/10.1371/journal.pmed.1002119" TargetMode="External" /><Relationship Type="http://schemas.openxmlformats.org/officeDocument/2006/relationships/hyperlink" Id="rId49" Target="http://dx.doi.org/10.1590/S0104-11692007000700008" TargetMode="External" /><Relationship Type="http://schemas.openxmlformats.org/officeDocument/2006/relationships/hyperlink" Id="rId55" Target="http://dx.doi.org/10.3233/SHTI240053" TargetMode="External" /><Relationship Type="http://schemas.openxmlformats.org/officeDocument/2006/relationships/hyperlink" Id="rId57"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2025-04-18T01:28:35Z</dcterms:created>
  <dcterms:modified xsi:type="dcterms:W3CDTF">2025-04-18T01:28:35Z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