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FirstParagraph"/>
      </w:pPr>
      <w:r>
        <w:t xml:space="preserve">The structure below is one possible setup for a manuscript, or a general data analysis project (including the course project). Adjust as needed.</w:t>
      </w:r>
      <w:r>
        <w:t xml:space="preserve"> </w:t>
      </w:r>
      <w:r>
        <w:t xml:space="preserve">You don’t need to have exactly these sections, but the content covering those sections should be addressed.</w:t>
      </w:r>
    </w:p>
    <w:p>
      <w:pPr>
        <w:pStyle w:val="BodyText"/>
      </w:pPr>
      <w:r>
        <w:t xml:space="preserve">This uses MS Word as output format.</w:t>
      </w:r>
      <w:r>
        <w:t xml:space="preserve"> </w:t>
      </w:r>
      <w:hyperlink r:id="rId20">
        <w:r>
          <w:rPr>
            <w:rStyle w:val="Hyperlink"/>
          </w:rPr>
          <w:t xml:space="preserve">See here</w:t>
        </w:r>
      </w:hyperlink>
      <w:r>
        <w:t xml:space="preserve"> </w:t>
      </w:r>
      <w:r>
        <w:t xml:space="preserve">for more information. You can switch to other formats, like html or pdf. See</w:t>
      </w:r>
      <w:r>
        <w:t xml:space="preserve"> </w:t>
      </w:r>
      <w:hyperlink r:id="rId21">
        <w:r>
          <w:rPr>
            <w:rStyle w:val="Hyperlink"/>
          </w:rPr>
          <w:t xml:space="preserve">the Quarto documentation</w:t>
        </w:r>
      </w:hyperlink>
      <w:r>
        <w:t xml:space="preserve"> </w:t>
      </w:r>
      <w:r>
        <w:t xml:space="preserve">for other formats.</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numPr>
          <w:ilvl w:val="0"/>
          <w:numId w:val="1001"/>
        </w:numPr>
        <w:pStyle w:val="Compact"/>
      </w:pPr>
      <w:r>
        <w:t xml:space="preserve">Third Autor</w:t>
      </w:r>
      <m:oMath>
        <m:sSup>
          <m:e>
            <m:r>
              <m:t>​</m:t>
            </m:r>
          </m:e>
          <m:sup>
            <m:r>
              <m:t>3</m:t>
            </m:r>
            <m:r>
              <m:rPr>
                <m:sty m:val="p"/>
              </m:rPr>
              <m:t>,</m:t>
            </m:r>
            <m:r>
              <m:rPr>
                <m:sty m:val="p"/>
              </m:rPr>
              <m:t>†</m:t>
            </m:r>
          </m:sup>
        </m:sSup>
      </m:oMath>
    </w:p>
    <w:p>
      <w:pPr>
        <w:numPr>
          <w:ilvl w:val="0"/>
          <w:numId w:val="1001"/>
        </w:numPr>
        <w:pStyle w:val="Compact"/>
      </w:pPr>
      <w:r>
        <w:t xml:space="preserve">Last Author</w:t>
      </w:r>
      <m:oMath>
        <m:sSup>
          <m:e>
            <m:r>
              <m:t>​</m:t>
            </m:r>
          </m:e>
          <m:sup>
            <m:r>
              <m:t>1</m:t>
            </m:r>
            <m:r>
              <m:rPr>
                <m:sty m:val="p"/>
              </m:rPr>
              <m:t>,</m:t>
            </m:r>
            <m:r>
              <m:t>2</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numPr>
          <w:ilvl w:val="0"/>
          <w:numId w:val="1002"/>
        </w:numPr>
        <w:pStyle w:val="Compact"/>
      </w:pPr>
      <w:r>
        <w:t xml:space="preserve">Another Affiliation, Athens, GA, USA.</w:t>
      </w:r>
    </w:p>
    <w:p>
      <w:pPr>
        <w:numPr>
          <w:ilvl w:val="0"/>
          <w:numId w:val="1002"/>
        </w:numPr>
        <w:pStyle w:val="Compact"/>
      </w:pPr>
      <w:r>
        <w:t xml:space="preserve">Yet another Affiliation.</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some@email.com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2" w:name="summaryabstract"/>
    <w:p>
      <w:pPr>
        <w:pStyle w:val="Heading1"/>
      </w:pPr>
      <w:r>
        <w:t xml:space="preserve">1. Summary/Abstract</w:t>
      </w:r>
    </w:p>
    <w:p>
      <w:pPr>
        <w:pStyle w:val="FirstParagraph"/>
      </w:pPr>
      <w:r>
        <w:rPr>
          <w:iCs/>
          <w:i/>
        </w:rPr>
        <w:t xml:space="preserve">Write a summary of your project.</w:t>
      </w:r>
      <w:r>
        <w:t xml:space="preserve"> </w:t>
      </w:r>
      <w:r>
        <w:t xml:space="preserve">MADA PROJECT PART 1:</w:t>
      </w:r>
    </w:p>
    <w:p>
      <w:pPr>
        <w:pStyle w:val="BodyText"/>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data includes 60 different individual that accepted to take part in the study.</w:t>
      </w:r>
    </w:p>
    <w:p>
      <w:pPr>
        <w:pStyle w:val="BodyText"/>
      </w:pPr>
      <w:r>
        <w:t xml:space="preserve">The key variables that we shall look at are;</w:t>
      </w:r>
    </w:p>
    <w:p>
      <w:pPr>
        <w:pStyle w:val="BodyText"/>
      </w:pP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pPr>
        <w:pStyle w:val="FirstParagraph"/>
      </w:pPr>
      <w:r>
        <w:t xml:space="preserve">Proposed Analysis Method</w:t>
      </w:r>
    </w:p>
    <w:p>
      <w:pPr>
        <w:pStyle w:val="BodyText"/>
      </w:pPr>
      <w:r>
        <w:t xml:space="preserve">• Compare immune activation levels between males and females</w:t>
      </w:r>
    </w:p>
    <w:p>
      <w:pPr>
        <w:pStyle w:val="BodyText"/>
      </w:pPr>
      <w:r>
        <w:t xml:space="preserve">• Correlate immune markers with disease severity measures/Correlation between activation levels and disease severity</w:t>
      </w:r>
    </w:p>
    <w:p>
      <w:pPr>
        <w:pStyle w:val="BodyText"/>
      </w:pPr>
      <w:r>
        <w:t xml:space="preserve">• Use linear regression to analyze relationships between variables</w:t>
      </w:r>
    </w:p>
    <w:p>
      <w:pPr>
        <w:pStyle w:val="BodyText"/>
      </w:pPr>
      <w:r>
        <w:t xml:space="preserve">• Control for potential confounding factors</w:t>
      </w:r>
    </w:p>
    <w:p>
      <w:pPr>
        <w:pStyle w:val="BodyText"/>
      </w:pPr>
      <w:r>
        <w:t xml:space="preserve">These are some of our Expected Outcomes.</w:t>
      </w:r>
    </w:p>
    <w:p>
      <w:pPr>
        <w:pStyle w:val="BodyText"/>
      </w:pPr>
      <w:r>
        <w:t xml:space="preserve">• Check and Identify any sex-based differences in immune response.</w:t>
      </w:r>
    </w:p>
    <w:p>
      <w:pPr>
        <w:pStyle w:val="BodyText"/>
      </w:pPr>
      <w:r>
        <w:t xml:space="preserve">• Quantify the relationship between immune activation and disease severity.</w:t>
      </w:r>
    </w:p>
    <w:p>
      <w:pPr>
        <w:pStyle w:val="BodyText"/>
      </w:pPr>
      <w:r>
        <w:t xml:space="preserve">• Propose any insights for sex-specific treatment approaches</w:t>
      </w:r>
    </w:p>
    <w:p>
      <w:r>
        <w:br w:type="page"/>
      </w:r>
    </w:p>
    <w:bookmarkEnd w:id="22"/>
    <w:bookmarkStart w:id="26"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r>
        <w:rPr>
          <w:iCs/>
          <w:i/>
        </w:rPr>
        <w:t xml:space="preserve">Provide enough background on your topic that others can understand the why and how of your analysis</w:t>
      </w:r>
      <w:r>
        <w:t xml:space="preserve"> </w:t>
      </w: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is acquired mostly through sharing air space with an individual who has active tuberculosis and inhaling droplet aerosols produced by that person. Since this bacterium is transmitted via the respiratory route to susceptible individuals in the community, the household of an infectious person is an environment for intense transmission of M. tuberculosis where most new cases of infection and diseases might be detected and treated.</w:t>
      </w:r>
      <w:r>
        <w:t xml:space="preserve"> </w:t>
      </w:r>
      <w:r>
        <w:t xml:space="preserve">According some reports,they suggest that there are differences in the responses to tuberculosis between men and women. These reports highlight greater barrier to early detection and treatment of tuberculosis to be greater for women than men.</w:t>
      </w:r>
    </w:p>
    <w:p>
      <w:pPr>
        <w:pStyle w:val="BodyText"/>
      </w:pPr>
      <w:r>
        <w:t xml:space="preserve">The World Health Organisations, among others, attributed to the differences in the tuberculosis trends between men and women to access to care and treatment, pregnancy effects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Since the balance of fat and lean tissue differ in men and women especially at the time of presentation, the objective of this study will be to find out whether the more immune activation there is, the more infected / sicker is the person.</w:t>
      </w:r>
    </w:p>
    <w:bookmarkEnd w:id="23"/>
    <w:bookmarkStart w:id="24"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4"/>
    <w:bookmarkStart w:id="25" w:name="questionshypotheses-to-be-addressed"/>
    <w:p>
      <w:pPr>
        <w:pStyle w:val="Heading2"/>
      </w:pPr>
      <w:r>
        <w:t xml:space="preserve">2.3 Questions/Hypotheses to be addressed</w:t>
      </w:r>
    </w:p>
    <w:p>
      <w:pPr>
        <w:pStyle w:val="FirstParagraph"/>
      </w:pPr>
      <w:r>
        <w:rPr>
          <w:iCs/>
          <w:i/>
        </w:rPr>
        <w:t xml:space="preserve">State the research questions you plan to answer with this analysis.</w:t>
      </w:r>
      <w:r>
        <w:t xml:space="preserve"> </w:t>
      </w: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5"/>
    <w:bookmarkEnd w:id="26"/>
    <w:bookmarkStart w:id="34" w:name="methods"/>
    <w:p>
      <w:pPr>
        <w:pStyle w:val="Heading1"/>
      </w:pPr>
      <w:r>
        <w:t xml:space="preserve">3. Methods</w:t>
      </w:r>
    </w:p>
    <w:p>
      <w:pPr>
        <w:pStyle w:val="FirstParagraph"/>
      </w:pPr>
      <w:r>
        <w:rPr>
          <w:iCs/>
          <w:i/>
        </w:rPr>
        <w:t xml:space="preserve">Describe your methods. That should describe the data, the cleaning processes, and the analysis approaches. You might want to provide a shorter description here and all the details in the supplement.</w:t>
      </w:r>
      <w:r>
        <w:t xml:space="preserve"> </w:t>
      </w:r>
      <w:r>
        <w:t xml:space="preserve">Study Design</w:t>
      </w:r>
      <w:r>
        <w:t xml:space="preserve"> </w:t>
      </w:r>
      <w:r>
        <w:t xml:space="preserve">This study utilized a cohort design analyzing data from 2021. We included all patients that were 15 years and older. The candidate must have had TB as their first episode, not on any hormonal therapy and does not take any hormonal birth control. The participant was not supposed to have diabetes melitus, cancer or HIV.Similarly,the exclusion criteria applied. All participants that were below the age of 15, reported TB as their second episode, took any form of hormanl therapy or biirth control , had diabetes melitus, cancer or HIV were excluded from the study.</w:t>
      </w:r>
      <w:r>
        <w:t xml:space="preserve"> </w:t>
      </w: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w:t>
      </w:r>
    </w:p>
    <w:bookmarkStart w:id="31"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 w:name="fig-1"/>
          <w:p>
            <w:pPr>
              <w:pStyle w:val="Compact"/>
              <w:jc w:val="center"/>
            </w:pPr>
            <w:r>
              <w:drawing>
                <wp:inline>
                  <wp:extent cx="5334000" cy="2856639"/>
                  <wp:effectExtent b="0" l="0" r="0" t="0"/>
                  <wp:docPr descr="" title="" id="28" name="Picture"/>
                  <a:graphic>
                    <a:graphicData uri="http://schemas.openxmlformats.org/drawingml/2006/picture">
                      <pic:pic>
                        <pic:nvPicPr>
                          <pic:cNvPr descr="../../assets/tbfig-1.png" id="29" name="Picture"/>
                          <pic:cNvPicPr>
                            <a:picLocks noChangeArrowheads="1" noChangeAspect="1"/>
                          </pic:cNvPicPr>
                        </pic:nvPicPr>
                        <pic:blipFill>
                          <a:blip r:embed="rId27"/>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30"/>
        </w:tc>
      </w:tr>
    </w:tbl>
    <w:bookmarkEnd w:id="31"/>
    <w:bookmarkStart w:id="32" w:name="data-import-and-cleaning"/>
    <w:p>
      <w:pPr>
        <w:pStyle w:val="Heading2"/>
      </w:pPr>
      <w:r>
        <w:t xml:space="preserve">3.2 Data import and cleaning</w:t>
      </w:r>
    </w:p>
    <w:p>
      <w:pPr>
        <w:pStyle w:val="FirstParagraph"/>
      </w:pPr>
      <w:r>
        <w:rPr>
          <w:iCs/>
          <w:i/>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p>
    <w:p>
      <w:pPr>
        <w:pStyle w:val="BodyText"/>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2"/>
    <w:bookmarkStart w:id="33" w:name="statistical-analysis"/>
    <w:p>
      <w:pPr>
        <w:pStyle w:val="Heading2"/>
      </w:pPr>
      <w:r>
        <w:t xml:space="preserve">3.3 Statistical analysis</w:t>
      </w:r>
    </w:p>
    <w:p>
      <w:pPr>
        <w:pStyle w:val="FirstParagraph"/>
      </w:pPr>
      <w:r>
        <w:rPr>
          <w:iCs/>
          <w:i/>
        </w:rPr>
        <w:t xml:space="preserve">Explain anything related to your statistical analyses.</w:t>
      </w:r>
    </w:p>
    <w:p>
      <w:r>
        <w:br w:type="page"/>
      </w:r>
    </w:p>
    <w:bookmarkEnd w:id="33"/>
    <w:bookmarkEnd w:id="34"/>
    <w:bookmarkStart w:id="52" w:name="results"/>
    <w:p>
      <w:pPr>
        <w:pStyle w:val="Heading1"/>
      </w:pPr>
      <w:r>
        <w:t xml:space="preserve">4. Results</w:t>
      </w:r>
    </w:p>
    <w:bookmarkStart w:id="36" w:name="exploratorydescriptive-analysis"/>
    <w:p>
      <w:pPr>
        <w:pStyle w:val="Heading2"/>
      </w:pPr>
      <w:r>
        <w:t xml:space="preserve">4.1 Exploratory/Descriptive analysis</w:t>
      </w:r>
    </w:p>
    <w:p>
      <w:pPr>
        <w:pStyle w:val="FirstParagraph"/>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r>
        <w:t xml:space="preserve"> </w:t>
      </w: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5"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5"/>
          <w:p/>
        </w:tc>
      </w:tr>
    </w:tbl>
    <w:bookmarkEnd w:id="36"/>
    <w:bookmarkStart w:id="49" w:name="basic-statistical-analysis"/>
    <w:p>
      <w:pPr>
        <w:pStyle w:val="Heading2"/>
      </w:pPr>
      <w:r>
        <w:t xml:space="preserve">4.2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8" name="Picture"/>
            <a:graphic>
              <a:graphicData uri="http://schemas.openxmlformats.org/drawingml/2006/picture">
                <pic:pic>
                  <pic:nvPicPr>
                    <pic:cNvPr descr="../../results/figures/Scatterplot1.png" id="39" name="Picture"/>
                    <pic:cNvPicPr>
                      <a:picLocks noChangeArrowheads="1" noChangeAspect="1"/>
                    </pic:cNvPicPr>
                  </pic:nvPicPr>
                  <pic:blipFill>
                    <a:blip r:embed="rId37"/>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41" name="Picture"/>
            <a:graphic>
              <a:graphicData uri="http://schemas.openxmlformats.org/drawingml/2006/picture">
                <pic:pic>
                  <pic:nvPicPr>
                    <pic:cNvPr descr="../../results/figures/Scatterplot2.png" id="42" name="Picture"/>
                    <pic:cNvPicPr>
                      <a:picLocks noChangeArrowheads="1" noChangeAspect="1"/>
                    </pic:cNvPicPr>
                  </pic:nvPicPr>
                  <pic:blipFill>
                    <a:blip r:embed="rId40"/>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4" name="Picture"/>
            <a:graphic>
              <a:graphicData uri="http://schemas.openxmlformats.org/drawingml/2006/picture">
                <pic:pic>
                  <pic:nvPicPr>
                    <pic:cNvPr descr="../../results/figures/boxplot1.png" id="45"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7" name="Picture"/>
            <a:graphic>
              <a:graphicData uri="http://schemas.openxmlformats.org/drawingml/2006/picture">
                <pic:pic>
                  <pic:nvPicPr>
                    <pic:cNvPr descr="../../results/figures/boxplot2.png" id="48" name="Picture"/>
                    <pic:cNvPicPr>
                      <a:picLocks noChangeArrowheads="1" noChangeAspect="1"/>
                    </pic:cNvPicPr>
                  </pic:nvPicPr>
                  <pic:blipFill>
                    <a:blip r:embed="rId46"/>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9"/>
    <w:bookmarkStart w:id="51"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50" w:name="tbl-resulttable2"/>
          <w:p>
            <w:pPr>
              <w:jc w:val="center"/>
            </w:pPr>
            <w:pPr>
              <w:jc w:val="start"/>
              <w:spacing w:before="200"/>
              <w:pStyle w:val="ImageCaption"/>
            </w:pPr>
            <w:r>
              <w:t xml:space="preserve">Table 2: Linear model fit table.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149.2726967</w:t>
                  </w:r>
                </w:p>
              </w:tc>
              <w:tc>
                <w:tcPr/>
                <w:p>
                  <w:pPr>
                    <w:pStyle w:val="Compact"/>
                    <w:jc w:val="right"/>
                    <w:jc w:val="center"/>
                  </w:pPr>
                  <w:r>
                    <w:t xml:space="preserve">23.3823360</w:t>
                  </w:r>
                </w:p>
              </w:tc>
              <w:tc>
                <w:tcPr/>
                <w:p>
                  <w:pPr>
                    <w:pStyle w:val="Compact"/>
                    <w:jc w:val="right"/>
                    <w:jc w:val="center"/>
                  </w:pPr>
                  <w:r>
                    <w:t xml:space="preserve">6.3839942</w:t>
                  </w:r>
                </w:p>
              </w:tc>
              <w:tc>
                <w:tcPr/>
                <w:p>
                  <w:pPr>
                    <w:pStyle w:val="Compact"/>
                    <w:jc w:val="right"/>
                    <w:jc w:val="center"/>
                  </w:pPr>
                  <w:r>
                    <w:t xml:space="preserve">0.0013962</w:t>
                  </w:r>
                </w:p>
              </w:tc>
            </w:tr>
            <w:tr>
              <w:tc>
                <w:tcPr/>
                <w:p>
                  <w:pPr>
                    <w:pStyle w:val="Compact"/>
                    <w:jc w:val="left"/>
                    <w:jc w:val="center"/>
                  </w:pPr>
                  <w:r>
                    <w:t xml:space="preserve">Weight</w:t>
                  </w:r>
                </w:p>
              </w:tc>
              <w:tc>
                <w:tcPr/>
                <w:p>
                  <w:pPr>
                    <w:pStyle w:val="Compact"/>
                    <w:jc w:val="right"/>
                    <w:jc w:val="center"/>
                  </w:pPr>
                  <w:r>
                    <w:t xml:space="preserve">0.2623972</w:t>
                  </w:r>
                </w:p>
              </w:tc>
              <w:tc>
                <w:tcPr/>
                <w:p>
                  <w:pPr>
                    <w:pStyle w:val="Compact"/>
                    <w:jc w:val="right"/>
                    <w:jc w:val="center"/>
                  </w:pPr>
                  <w:r>
                    <w:t xml:space="preserve">0.3512436</w:t>
                  </w:r>
                </w:p>
              </w:tc>
              <w:tc>
                <w:tcPr/>
                <w:p>
                  <w:pPr>
                    <w:pStyle w:val="Compact"/>
                    <w:jc w:val="right"/>
                    <w:jc w:val="center"/>
                  </w:pPr>
                  <w:r>
                    <w:t xml:space="preserve">0.7470519</w:t>
                  </w:r>
                </w:p>
              </w:tc>
              <w:tc>
                <w:tcPr/>
                <w:p>
                  <w:pPr>
                    <w:pStyle w:val="Compact"/>
                    <w:jc w:val="right"/>
                    <w:jc w:val="center"/>
                  </w:pPr>
                  <w:r>
                    <w:t xml:space="preserve">0.4886517</w:t>
                  </w:r>
                </w:p>
              </w:tc>
            </w:tr>
            <w:tr>
              <w:tc>
                <w:tcPr/>
                <w:p>
                  <w:pPr>
                    <w:pStyle w:val="Compact"/>
                    <w:jc w:val="left"/>
                    <w:jc w:val="center"/>
                  </w:pPr>
                  <w:r>
                    <w:t xml:space="preserve">GenderM</w:t>
                  </w:r>
                </w:p>
              </w:tc>
              <w:tc>
                <w:tcPr/>
                <w:p>
                  <w:pPr>
                    <w:pStyle w:val="Compact"/>
                    <w:jc w:val="right"/>
                    <w:jc w:val="center"/>
                  </w:pPr>
                  <w:r>
                    <w:t xml:space="preserve">-2.1244913</w:t>
                  </w:r>
                </w:p>
              </w:tc>
              <w:tc>
                <w:tcPr/>
                <w:p>
                  <w:pPr>
                    <w:pStyle w:val="Compact"/>
                    <w:jc w:val="right"/>
                    <w:jc w:val="center"/>
                  </w:pPr>
                  <w:r>
                    <w:t xml:space="preserve">15.5488953</w:t>
                  </w:r>
                </w:p>
              </w:tc>
              <w:tc>
                <w:tcPr/>
                <w:p>
                  <w:pPr>
                    <w:pStyle w:val="Compact"/>
                    <w:jc w:val="right"/>
                    <w:jc w:val="center"/>
                  </w:pPr>
                  <w:r>
                    <w:t xml:space="preserve">-0.1366329</w:t>
                  </w:r>
                </w:p>
              </w:tc>
              <w:tc>
                <w:tcPr/>
                <w:p>
                  <w:pPr>
                    <w:pStyle w:val="Compact"/>
                    <w:jc w:val="right"/>
                    <w:jc w:val="center"/>
                  </w:pPr>
                  <w:r>
                    <w:t xml:space="preserve">0.8966520</w:t>
                  </w:r>
                </w:p>
              </w:tc>
            </w:tr>
            <w:tr>
              <w:tc>
                <w:tcPr/>
                <w:p>
                  <w:pPr>
                    <w:pStyle w:val="Compact"/>
                    <w:jc w:val="left"/>
                    <w:jc w:val="center"/>
                  </w:pPr>
                  <w:r>
                    <w:t xml:space="preserve">GenderO</w:t>
                  </w:r>
                </w:p>
              </w:tc>
              <w:tc>
                <w:tcPr/>
                <w:p>
                  <w:pPr>
                    <w:pStyle w:val="Compact"/>
                    <w:jc w:val="right"/>
                    <w:jc w:val="center"/>
                  </w:pPr>
                  <w:r>
                    <w:t xml:space="preserve">-4.7644739</w:t>
                  </w:r>
                </w:p>
              </w:tc>
              <w:tc>
                <w:tcPr/>
                <w:p>
                  <w:pPr>
                    <w:pStyle w:val="Compact"/>
                    <w:jc w:val="right"/>
                    <w:jc w:val="center"/>
                  </w:pPr>
                  <w:r>
                    <w:t xml:space="preserve">19.0114155</w:t>
                  </w:r>
                </w:p>
              </w:tc>
              <w:tc>
                <w:tcPr/>
                <w:p>
                  <w:pPr>
                    <w:pStyle w:val="Compact"/>
                    <w:jc w:val="right"/>
                    <w:jc w:val="center"/>
                  </w:pPr>
                  <w:r>
                    <w:t xml:space="preserve">-0.2506112</w:t>
                  </w:r>
                </w:p>
              </w:tc>
              <w:tc>
                <w:tcPr/>
                <w:p>
                  <w:pPr>
                    <w:pStyle w:val="Compact"/>
                    <w:jc w:val="right"/>
                    <w:jc w:val="center"/>
                  </w:pPr>
                  <w:r>
                    <w:t xml:space="preserve">0.8120871</w:t>
                  </w:r>
                </w:p>
              </w:tc>
            </w:tr>
          </w:tbl>
          <w:bookmarkEnd w:id="50"/>
          <w:p/>
        </w:tc>
      </w:tr>
    </w:tbl>
    <w:p>
      <w:r>
        <w:br w:type="page"/>
      </w:r>
    </w:p>
    <w:bookmarkEnd w:id="51"/>
    <w:bookmarkEnd w:id="52"/>
    <w:bookmarkStart w:id="57" w:name="discussion"/>
    <w:p>
      <w:pPr>
        <w:pStyle w:val="Heading1"/>
      </w:pPr>
      <w:r>
        <w:t xml:space="preserve">5. Discussion</w:t>
      </w:r>
    </w:p>
    <w:bookmarkStart w:id="53"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3"/>
    <w:bookmarkStart w:id="54"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4"/>
    <w:bookmarkStart w:id="56"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(7)</w:t>
      </w:r>
      <w:r>
        <w:t xml:space="preserve"> </w:t>
      </w:r>
      <w:r>
        <w:t xml:space="preserve">discusses types of analyses.</w:t>
      </w:r>
    </w:p>
    <w:p>
      <w:pPr>
        <w:pStyle w:val="BodyText"/>
      </w:pPr>
      <w:r>
        <w:t xml:space="preserve">These papers</w:t>
      </w:r>
      <w:r>
        <w:t xml:space="preserve"> </w:t>
      </w:r>
      <w:r>
        <w:t xml:space="preserve">(8,9)</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55">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56"/>
    <w:bookmarkEnd w:id="57"/>
    <w:bookmarkStart w:id="77" w:name="references"/>
    <w:p>
      <w:pPr>
        <w:pStyle w:val="Heading1"/>
      </w:pPr>
      <w:r>
        <w:t xml:space="preserve">6. References</w:t>
      </w:r>
    </w:p>
    <w:bookmarkStart w:id="76" w:name="refs"/>
    <w:bookmarkStart w:id="59"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8">
        <w:r>
          <w:rPr>
            <w:rStyle w:val="Hyperlink"/>
          </w:rPr>
          <w:t xml:space="preserve">http://dx.doi.org/10.1590/S0104-11692007000700008</w:t>
        </w:r>
      </w:hyperlink>
      <w:r>
        <w:t xml:space="preserve">)</w:t>
      </w:r>
    </w:p>
    <w:bookmarkEnd w:id="59"/>
    <w:bookmarkStart w:id="61"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60">
        <w:r>
          <w:rPr>
            <w:rStyle w:val="Hyperlink"/>
          </w:rPr>
          <w:t xml:space="preserve">http://dx.doi.org/10.1093/aje/kwx025</w:t>
        </w:r>
      </w:hyperlink>
      <w:r>
        <w:t xml:space="preserve">)</w:t>
      </w:r>
    </w:p>
    <w:bookmarkEnd w:id="61"/>
    <w:bookmarkStart w:id="63"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2">
        <w:r>
          <w:rPr>
            <w:rStyle w:val="Hyperlink"/>
          </w:rPr>
          <w:t xml:space="preserve">http://dx.doi.org/10.1016/S0140-6736(98)03199-7</w:t>
        </w:r>
      </w:hyperlink>
      <w:r>
        <w:t xml:space="preserve">)</w:t>
      </w:r>
    </w:p>
    <w:bookmarkEnd w:id="63"/>
    <w:bookmarkStart w:id="65"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4">
        <w:r>
          <w:rPr>
            <w:rStyle w:val="Hyperlink"/>
          </w:rPr>
          <w:t xml:space="preserve">http://dx.doi.org/10.3233/SHTI240053</w:t>
        </w:r>
      </w:hyperlink>
      <w:r>
        <w:t xml:space="preserve">)</w:t>
      </w:r>
    </w:p>
    <w:bookmarkEnd w:id="65"/>
    <w:bookmarkStart w:id="67" w:name="ref-CCWhalen2023"/>
    <w:p>
      <w:pPr>
        <w:pStyle w:val="Bibliography"/>
      </w:pPr>
      <w:r>
        <w:t xml:space="preserve">5.</w:t>
      </w:r>
      <w:r>
        <w:t xml:space="preserve"> </w:t>
      </w:r>
      <w:r>
        <w:t xml:space="preserve">	</w:t>
      </w:r>
      <w:r>
        <w:t xml:space="preserve">Whalen C. Sex differences in the presentation of tuberculosis in uganda. 2023;(</w:t>
      </w:r>
      <w:hyperlink r:id="rId66">
        <w:r>
          <w:rPr>
            <w:rStyle w:val="Hyperlink"/>
          </w:rPr>
          <w:t xml:space="preserve">https://dataverse.unc.edu/citation?persistentId=doi:10.15139/S3/AYOFEU</w:t>
        </w:r>
      </w:hyperlink>
      <w:r>
        <w:t xml:space="preserve">)</w:t>
      </w:r>
    </w:p>
    <w:bookmarkEnd w:id="67"/>
    <w:bookmarkStart w:id="69"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8">
        <w:r>
          <w:rPr>
            <w:rStyle w:val="Hyperlink"/>
          </w:rPr>
          <w:t xml:space="preserve">http://dx.doi.org/10.1007/s00281-018-0725-6</w:t>
        </w:r>
      </w:hyperlink>
      <w:r>
        <w:t xml:space="preserve">)</w:t>
      </w:r>
    </w:p>
    <w:bookmarkEnd w:id="69"/>
    <w:bookmarkStart w:id="71" w:name="ref-leek2015"/>
    <w:p>
      <w:pPr>
        <w:pStyle w:val="Bibliography"/>
      </w:pPr>
      <w:r>
        <w:t xml:space="preserve">7.</w:t>
      </w:r>
      <w:r>
        <w:t xml:space="preserve"> </w:t>
      </w:r>
      <w:r>
        <w:t xml:space="preserve">	</w:t>
      </w:r>
      <w:r>
        <w:t xml:space="preserve">Leek JT, Peng RD.</w:t>
      </w:r>
      <w:r>
        <w:t xml:space="preserve"> </w:t>
      </w:r>
      <w:hyperlink r:id="rId70">
        <w:r>
          <w:rPr>
            <w:rStyle w:val="Hyperlink"/>
          </w:rPr>
          <w:t xml:space="preserve">Statistics.</w:t>
        </w:r>
        <w:r>
          <w:rPr>
            <w:rStyle w:val="Hyperlink"/>
          </w:rPr>
          <w:t xml:space="preserve"> </w:t>
        </w:r>
        <w:r>
          <w:rPr>
            <w:rStyle w:val="Hyperlink"/>
          </w:rPr>
          <w:t xml:space="preserve">What</w:t>
        </w:r>
        <w:r>
          <w:rPr>
            <w:rStyle w:val="Hyperlink"/>
          </w:rPr>
          <w:t xml:space="preserve"> </w:t>
        </w:r>
        <w:r>
          <w:rPr>
            <w:rStyle w:val="Hyperlink"/>
          </w:rPr>
          <w:t xml:space="preserve">is the question?</w:t>
        </w:r>
      </w:hyperlink>
      <w:r>
        <w:t xml:space="preserve"> </w:t>
      </w:r>
      <w:r>
        <w:rPr>
          <w:iCs/>
          <w:i/>
        </w:rPr>
        <w:t xml:space="preserve">Science (New York, N.Y.)</w:t>
      </w:r>
      <w:r>
        <w:t xml:space="preserve">. 2015;347(6228):1314–1315.</w:t>
      </w:r>
      <w:r>
        <w:t xml:space="preserve"> </w:t>
      </w:r>
    </w:p>
    <w:bookmarkEnd w:id="71"/>
    <w:bookmarkStart w:id="73" w:name="ref-mckay2020"/>
    <w:p>
      <w:pPr>
        <w:pStyle w:val="Bibliography"/>
      </w:pPr>
      <w:r>
        <w:t xml:space="preserve">8.</w:t>
      </w:r>
      <w:r>
        <w:t xml:space="preserve"> </w:t>
      </w:r>
      <w:r>
        <w:t xml:space="preserve">	</w:t>
      </w:r>
      <w:r>
        <w:t xml:space="preserve">McKay B, Ebell M, Billings WZ, et al.</w:t>
      </w:r>
      <w:r>
        <w:t xml:space="preserve"> </w:t>
      </w:r>
      <w:hyperlink r:id="rId72">
        <w:r>
          <w:rPr>
            <w:rStyle w:val="Hyperlink"/>
          </w:rPr>
          <w:t xml:space="preserve">Associations</w:t>
        </w:r>
        <w:r>
          <w:rPr>
            <w:rStyle w:val="Hyperlink"/>
          </w:rPr>
          <w:t xml:space="preserve"> </w:t>
        </w:r>
        <w:r>
          <w:rPr>
            <w:rStyle w:val="Hyperlink"/>
          </w:rPr>
          <w:t xml:space="preserve">Between Relative Viral Load</w:t>
        </w:r>
        <w:r>
          <w:rPr>
            <w:rStyle w:val="Hyperlink"/>
          </w:rPr>
          <w:t xml:space="preserve"> </w:t>
        </w:r>
        <w:r>
          <w:rPr>
            <w:rStyle w:val="Hyperlink"/>
          </w:rPr>
          <w:t xml:space="preserve">at</w:t>
        </w:r>
        <w:r>
          <w:rPr>
            <w:rStyle w:val="Hyperlink"/>
          </w:rPr>
          <w:t xml:space="preserve"> </w:t>
        </w:r>
        <w:r>
          <w:rPr>
            <w:rStyle w:val="Hyperlink"/>
          </w:rPr>
          <w:t xml:space="preserve">Diagnosis</w:t>
        </w:r>
        <w:r>
          <w:rPr>
            <w:rStyle w:val="Hyperlink"/>
          </w:rPr>
          <w:t xml:space="preserve"> </w:t>
        </w:r>
        <w:r>
          <w:rPr>
            <w:rStyle w:val="Hyperlink"/>
          </w:rPr>
          <w:t xml:space="preserve">and</w:t>
        </w:r>
        <w:r>
          <w:rPr>
            <w:rStyle w:val="Hyperlink"/>
          </w:rPr>
          <w:t xml:space="preserve"> </w:t>
        </w:r>
        <w:r>
          <w:rPr>
            <w:rStyle w:val="Hyperlink"/>
          </w:rPr>
          <w:t xml:space="preserve">Influenza A Symptoms</w:t>
        </w:r>
        <w:r>
          <w:rPr>
            <w:rStyle w:val="Hyperlink"/>
          </w:rPr>
          <w:t xml:space="preserve"> </w:t>
        </w:r>
        <w:r>
          <w:rPr>
            <w:rStyle w:val="Hyperlink"/>
          </w:rPr>
          <w:t xml:space="preserve">and</w:t>
        </w:r>
        <w:r>
          <w:rPr>
            <w:rStyle w:val="Hyperlink"/>
          </w:rPr>
          <w:t xml:space="preserve"> </w:t>
        </w:r>
        <w:r>
          <w:rPr>
            <w:rStyle w:val="Hyperlink"/>
          </w:rPr>
          <w:t xml:space="preserve">Recovery</w:t>
        </w:r>
        <w:r>
          <w:rPr>
            <w:rStyle w:val="Hyperlink"/>
          </w:rPr>
          <w:t xml:space="preserve">.</w:t>
        </w:r>
      </w:hyperlink>
      <w:r>
        <w:t xml:space="preserve"> </w:t>
      </w:r>
      <w:r>
        <w:rPr>
          <w:iCs/>
          <w:i/>
        </w:rPr>
        <w:t xml:space="preserve">Open forum infectious diseases</w:t>
      </w:r>
      <w:r>
        <w:t xml:space="preserve">. 2020;7(11):ofaa494.</w:t>
      </w:r>
      <w:r>
        <w:t xml:space="preserve"> </w:t>
      </w:r>
    </w:p>
    <w:bookmarkEnd w:id="73"/>
    <w:bookmarkStart w:id="75" w:name="ref-mckay2020a"/>
    <w:p>
      <w:pPr>
        <w:pStyle w:val="Bibliography"/>
      </w:pPr>
      <w:r>
        <w:t xml:space="preserve">9.</w:t>
      </w:r>
      <w:r>
        <w:t xml:space="preserve"> </w:t>
      </w:r>
      <w:r>
        <w:t xml:space="preserve">	</w:t>
      </w:r>
      <w:r>
        <w:t xml:space="preserve">McKay B, Ebell M, Dale AP, et al.</w:t>
      </w:r>
      <w:r>
        <w:t xml:space="preserve"> </w:t>
      </w:r>
      <w:hyperlink r:id="rId74">
        <w:r>
          <w:rPr>
            <w:rStyle w:val="Hyperlink"/>
          </w:rPr>
          <w:t xml:space="preserve">Virulence-mediated infectiousness and activity trade-offs and their impact on transmission potential of influenza patients.</w:t>
        </w:r>
      </w:hyperlink>
      <w:r>
        <w:t xml:space="preserve"> </w:t>
      </w:r>
      <w:r>
        <w:rPr>
          <w:iCs/>
          <w:i/>
        </w:rPr>
        <w:t xml:space="preserve">Proceedings. Biological sciences</w:t>
      </w:r>
      <w:r>
        <w:t xml:space="preserve">. 2020;287(1927):20200496.</w:t>
      </w:r>
      <w:r>
        <w:t xml:space="preserve"> </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60" Target="http://dx.doi.org/10.1093/aje/kwx025"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 Type="http://schemas.openxmlformats.org/officeDocument/2006/relationships/hyperlink" Id="rId72" Target="https://doi.org/10.1093/ofid/ofaa494" TargetMode="External" /><Relationship Type="http://schemas.openxmlformats.org/officeDocument/2006/relationships/hyperlink" Id="rId74" Target="https://doi.org/10.1098/rspb.2020.0496" TargetMode="External" /><Relationship Type="http://schemas.openxmlformats.org/officeDocument/2006/relationships/hyperlink" Id="rId70" Target="https://doi.org/10.1126/science.aaa6146"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55"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60" Target="http://dx.doi.org/10.1093/aje/kwx025"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 Type="http://schemas.openxmlformats.org/officeDocument/2006/relationships/hyperlink" Id="rId72" Target="https://doi.org/10.1093/ofid/ofaa494" TargetMode="External" /><Relationship Type="http://schemas.openxmlformats.org/officeDocument/2006/relationships/hyperlink" Id="rId74" Target="https://doi.org/10.1098/rspb.2020.0496" TargetMode="External" /><Relationship Type="http://schemas.openxmlformats.org/officeDocument/2006/relationships/hyperlink" Id="rId70" Target="https://doi.org/10.1126/science.aaa6146"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55"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2025-02-21T23:58:47Z</dcterms:created>
  <dcterms:modified xsi:type="dcterms:W3CDTF">2025-02-21T23:58:47Z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