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38.png" ContentType="image/png"/>
  <Override PartName="/word/media/rId41.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#Methods</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study had 30 males and 30 females. All these participants were hiv negative and didnot have tuberculosis at the time of enrollment.</w:t>
      </w:r>
    </w:p>
    <w:p>
      <w:pPr>
        <w:pStyle w:val="BodyText"/>
      </w:pPr>
      <w:r>
        <w:t xml:space="preserve">The key exposure varibles are demographic and clinicalk. These include;</w:t>
      </w:r>
      <w:r>
        <w:t xml:space="preserve"> </w:t>
      </w: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BodyText"/>
      </w:pPr>
      <w:r>
        <w:t xml:space="preserve">#Proposed Analysis Method.</w:t>
      </w:r>
    </w:p>
    <w:p>
      <w:pPr>
        <w:pStyle w:val="BodyText"/>
      </w:pPr>
      <w:r>
        <w:t xml:space="preserve">• 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Organisations, among others, attributed to the differences in the tuberculosis trends between men and women to access to care and treatment, pregnancy effects,body fat mass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Body fat plays an important role in supporting immune function, and women typically maintain higher fat storage than men. This increased fat storage may contribute to women’s stronger immune responses. Since the balance of fat and lean tissue differs significantly between men and women, particularly at the time of disease presentation, the objective of this study is to determine whether higher immune activation correlates with greater infection severity or illness.</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1"/>
    <w:bookmarkEnd w:id="32"/>
    <w:bookmarkStart w:id="53"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2"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CaptionedFigure"/>
      </w:pPr>
      <w:r>
        <w:drawing>
          <wp:inline>
            <wp:extent cx="4587290" cy="3394595"/>
            <wp:effectExtent b="0" l="0" r="0" t="0"/>
            <wp:docPr descr="predicted vs observed of three models" title="" id="50" name="Picture"/>
            <a:graphic>
              <a:graphicData uri="http://schemas.openxmlformats.org/drawingml/2006/picture">
                <pic:pic>
                  <pic:nvPicPr>
                    <pic:cNvPr descr="../../results/figures/predVSobs.png" id="51" name="Picture"/>
                    <pic:cNvPicPr>
                      <a:picLocks noChangeArrowheads="1" noChangeAspect="1"/>
                    </pic:cNvPicPr>
                  </pic:nvPicPr>
                  <pic:blipFill>
                    <a:blip r:embed="rId49"/>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predicted vs observed of three models</w:t>
      </w:r>
    </w:p>
    <w:p>
      <w:pPr>
        <w:pStyle w:val="BodyText"/>
      </w:pPr>
      <w:r>
        <w:t xml:space="preserve">LASSO did not substantially improve performance over linear regression, likely due to a weak regularization effect at the selected penalty. Variable importance from the Random Forest model identified BMI, participants age,lean body mass,CD4+ and sex, with Sex emerging as a minor contributor to CD4 Immune Activation count levels.</w:t>
      </w:r>
    </w:p>
    <w:p>
      <w:r>
        <w:br w:type="page"/>
      </w:r>
    </w:p>
    <w:bookmarkEnd w:id="52"/>
    <w:bookmarkEnd w:id="53"/>
    <w:bookmarkStart w:id="57"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4"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4"/>
    <w:bookmarkStart w:id="55"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5"/>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pPr>
        <w:pStyle w:val="BodyText"/>
      </w:pPr>
      <w:r>
        <w:t xml:space="preserve">Despite limitations of the present study, this study suggests that the body regains weight among wasted tuberculosis patients. Patients with wasting do not recover to the same levels of body mass as those who were not wasted. This suggests that tuberculosis leads to permanent loss of lean tissue and fat mass. There was remarkable gender but not HIV differences in longitudinal body composition changes during the initial phase of tuberculosis treatment among patients who presented with body wasting. The substantial body composition differences between men and women suggest that the nutritional demands during recovery may differ for men and women. Evaluation of nutritional status should involve evaluation of lean tissue and fat mass and further studies should explore the impact of providing nutritional interventions as adjuvant treatment on body composition among tuberculosis patients during and after treatment in sub-Saharan Africa.</w:t>
      </w:r>
    </w:p>
    <w:p>
      <w:r>
        <w:br w:type="page"/>
      </w:r>
    </w:p>
    <w:bookmarkEnd w:id="56"/>
    <w:bookmarkEnd w:id="57"/>
    <w:bookmarkStart w:id="75" w:name="references"/>
    <w:p>
      <w:pPr>
        <w:pStyle w:val="Heading1"/>
      </w:pPr>
      <w:r>
        <w:t xml:space="preserve">6. References</w:t>
      </w:r>
    </w:p>
    <w:bookmarkStart w:id="74"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70">
        <w:r>
          <w:rPr>
            <w:rStyle w:val="Hyperlink"/>
          </w:rPr>
          <w:t xml:space="preserve">http://dx.doi.org/10.1016/j.pulmoe.2018.03.004</w:t>
        </w:r>
      </w:hyperlink>
      <w:r>
        <w:t xml:space="preserve">)</w:t>
      </w:r>
    </w:p>
    <w:bookmarkEnd w:id="71"/>
    <w:bookmarkStart w:id="73"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2">
        <w:r>
          <w:rPr>
            <w:rStyle w:val="Hyperlink"/>
          </w:rPr>
          <w:t xml:space="preserve">http://dx.doi.org/10.1186/2042-6410-3-13</w:t>
        </w:r>
      </w:hyperlink>
      <w:r>
        <w:t xml:space="preserve">)</w:t>
      </w:r>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2025-04-05T03:33:00Z</dcterms:created>
  <dcterms:modified xsi:type="dcterms:W3CDTF">2025-04-05T03:33:00Z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