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4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Leaderboards: A Ground-Truth-Calibrated Measurement-Invariance Audit of Language Model Benchmarks</w:t>
      </w:r>
    </w:p>
    <w:p>
      <w:pPr>
        <w:pStyle w:val="Author"/>
      </w:pPr>
      <w:r>
        <w:t xml:space="preserve"> </w:t>
      </w:r>
    </w:p>
    <w:p>
      <w:pPr>
        <w:pStyle w:val="Author"/>
      </w:pPr>
      <w:r>
        <w:t xml:space="preserve">Xingyao (Doria) Xiao</w:t>
      </w:r>
    </w:p>
    <w:p>
      <w:pPr>
        <w:pStyle w:val="Author"/>
      </w:pPr>
      <w:r>
        <w:t xml:space="preserve">Stanford University</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FirstParagraph"/>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Leaderboards: A Ground-Truth-Calibrated Measurement-Invariance Audit of Language Model Benchmarks</w:t>
      </w:r>
    </w:p>
    <w:bookmarkEnd w:id="26"/>
    <w:bookmarkStart w:id="27"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p>
      <w:pPr>
        <w:pStyle w:val="BodyText"/>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7"/>
    <w:bookmarkStart w:id="28" w:name="contamination-as-anchor-item-invariance"/>
    <w:p>
      <w:pPr>
        <w:pStyle w:val="Heading1"/>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8"/>
    <w:bookmarkStart w:id="32" w:name="method"/>
    <w:p>
      <w:pPr>
        <w:pStyle w:val="Heading1"/>
      </w:pPr>
      <w:r>
        <w:t xml:space="preserve">Method</w:t>
      </w:r>
    </w:p>
    <w:bookmarkStart w:id="29"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length-normalised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is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29"/>
    <w:bookmarkStart w:id="30"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penalized joint maximum likelihood Rasch model, fit separately to the original and to the paraphrased responses, and compare the resulting rankings.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0"/>
    <w:bookmarkStart w:id="31"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from the standard error of the item-level gaps for a clean model at conventional power;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1"/>
    <w:bookmarkEnd w:id="32"/>
    <w:bookmarkStart w:id="53" w:name="results"/>
    <w:p>
      <w:pPr>
        <w:pStyle w:val="Heading1"/>
      </w:pPr>
      <w:r>
        <w:t xml:space="preserve">Results</w:t>
      </w:r>
    </w:p>
    <w:bookmarkStart w:id="37"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6"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4" name="Picture"/>
            <a:graphic>
              <a:graphicData uri="http://schemas.openxmlformats.org/drawingml/2006/picture">
                <pic:pic>
                  <pic:nvPicPr>
                    <pic:cNvPr descr="../figures/fig_exposure_matrix.png" id="35" name="Picture"/>
                    <pic:cNvPicPr>
                      <a:picLocks noChangeArrowheads="1" noChangeAspect="1"/>
                    </pic:cNvPicPr>
                  </pic:nvPicPr>
                  <pic:blipFill>
                    <a:blip r:embed="rId33"/>
                    <a:stretch>
                      <a:fillRect/>
                    </a:stretch>
                  </pic:blipFill>
                  <pic:spPr bwMode="auto">
                    <a:xfrm>
                      <a:off x="0" y="0"/>
                      <a:ext cx="5943600" cy="3241963"/>
                    </a:xfrm>
                    <a:prstGeom prst="rect">
                      <a:avLst/>
                    </a:prstGeom>
                    <a:noFill/>
                    <a:ln w="9525">
                      <a:noFill/>
                      <a:headEnd/>
                      <a:tailEnd/>
                    </a:ln>
                  </pic:spPr>
                </pic:pic>
              </a:graphicData>
            </a:graphic>
          </wp:inline>
        </w:drawing>
      </w:r>
    </w:p>
    <w:bookmarkEnd w:id="36"/>
    <w:bookmarkEnd w:id="37"/>
    <w:bookmarkStart w:id="42"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indistinguishable from zero, so legitimate exposure to training data is not mistaken for contamination. Test-set leakage produces a corrected effect of +0.187, a higher learning rate +0.226,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1"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39" name="Picture"/>
            <a:graphic>
              <a:graphicData uri="http://schemas.openxmlformats.org/drawingml/2006/picture">
                <pic:pic>
                  <pic:nvPicPr>
                    <pic:cNvPr descr="anchor_dif_files/figure-docx/fig-validation-1.png" id="40" name="Picture"/>
                    <pic:cNvPicPr>
                      <a:picLocks noChangeArrowheads="1" noChangeAspect="1"/>
                    </pic:cNvPicPr>
                  </pic:nvPicPr>
                  <pic:blipFill>
                    <a:blip r:embed="rId38"/>
                    <a:stretch>
                      <a:fillRect/>
                    </a:stretch>
                  </pic:blipFill>
                  <pic:spPr bwMode="auto">
                    <a:xfrm>
                      <a:off x="0" y="0"/>
                      <a:ext cx="5943600" cy="2924175"/>
                    </a:xfrm>
                    <a:prstGeom prst="rect">
                      <a:avLst/>
                    </a:prstGeom>
                    <a:noFill/>
                    <a:ln w="9525">
                      <a:noFill/>
                      <a:headEnd/>
                      <a:tailEnd/>
                    </a:ln>
                  </pic:spPr>
                </pic:pic>
              </a:graphicData>
            </a:graphic>
          </wp:inline>
        </w:drawing>
      </w:r>
    </w:p>
    <w:bookmarkEnd w:id="41"/>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2"/>
    <w:bookmarkStart w:id="47"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6"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4" name="Picture"/>
            <a:graphic>
              <a:graphicData uri="http://schemas.openxmlformats.org/drawingml/2006/picture">
                <pic:pic>
                  <pic:nvPicPr>
                    <pic:cNvPr descr="anchor_dif_files/figure-docx/fig-leaderboard-1.png" id="45" name="Picture"/>
                    <pic:cNvPicPr>
                      <a:picLocks noChangeArrowheads="1" noChangeAspect="1"/>
                    </pic:cNvPicPr>
                  </pic:nvPicPr>
                  <pic:blipFill>
                    <a:blip r:embed="rId43"/>
                    <a:stretch>
                      <a:fillRect/>
                    </a:stretch>
                  </pic:blipFill>
                  <pic:spPr bwMode="auto">
                    <a:xfrm>
                      <a:off x="0" y="0"/>
                      <a:ext cx="5943600" cy="3657600"/>
                    </a:xfrm>
                    <a:prstGeom prst="rect">
                      <a:avLst/>
                    </a:prstGeom>
                    <a:noFill/>
                    <a:ln w="9525">
                      <a:noFill/>
                      <a:headEnd/>
                      <a:tailEnd/>
                    </a:ln>
                  </pic:spPr>
                </pic:pic>
              </a:graphicData>
            </a:graphic>
          </wp:inline>
        </w:drawing>
      </w:r>
    </w:p>
    <w:bookmarkEnd w:id="46"/>
    <w:bookmarkEnd w:id="47"/>
    <w:bookmarkStart w:id="52"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1"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49" name="Picture"/>
            <a:graphic>
              <a:graphicData uri="http://schemas.openxmlformats.org/drawingml/2006/picture">
                <pic:pic>
                  <pic:nvPicPr>
                    <pic:cNvPr descr="anchor_dif_files/figure-docx/fig-sensitivity-1.png" id="50" name="Picture"/>
                    <pic:cNvPicPr>
                      <a:picLocks noChangeArrowheads="1" noChangeAspect="1"/>
                    </pic:cNvPicPr>
                  </pic:nvPicPr>
                  <pic:blipFill>
                    <a:blip r:embed="rId48"/>
                    <a:stretch>
                      <a:fillRect/>
                    </a:stretch>
                  </pic:blipFill>
                  <pic:spPr bwMode="auto">
                    <a:xfrm>
                      <a:off x="0" y="0"/>
                      <a:ext cx="5943600" cy="3105150"/>
                    </a:xfrm>
                    <a:prstGeom prst="rect">
                      <a:avLst/>
                    </a:prstGeom>
                    <a:noFill/>
                    <a:ln w="9525">
                      <a:noFill/>
                      <a:headEnd/>
                      <a:tailEnd/>
                    </a:ln>
                  </pic:spPr>
                </pic:pic>
              </a:graphicData>
            </a:graphic>
          </wp:inline>
        </w:drawing>
      </w:r>
    </w:p>
    <w:bookmarkEnd w:id="51"/>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Finally, requiring a case to exceed the detection floor on both the paraphrase and the synthetic reference, which guards against the multiplicity of testing 188 model-by-benchmark combinations, leaves 3 corroborated cases (Qwen1.5-110B-Chat on GSM8K; Qwen1.5-72B-Chat on MMLU; Yi-34B on MMLU).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2"/>
    <w:bookmarkEnd w:id="53"/>
    <w:bookmarkStart w:id="54"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4"/>
    <w:bookmarkStart w:id="55"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 [REPOSITORY URL TO BE INSERTED].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5"/>
    <w:bookmarkStart w:id="56" w:name="declarations"/>
    <w:p>
      <w:pPr>
        <w:pStyle w:val="Heading1"/>
      </w:pPr>
      <w:r>
        <w:t xml:space="preserve">Declarations</w:t>
      </w:r>
    </w:p>
    <w:p>
      <w:pPr>
        <w:pStyle w:val="FirstParagraph"/>
      </w:pPr>
      <w:r>
        <w:rPr>
          <w:i/>
          <w:iCs/>
        </w:rPr>
        <w:t xml:space="preserve">Funding.</w:t>
      </w:r>
      <w:r>
        <w:t xml:space="preserve"> </w:t>
      </w:r>
      <w:r>
        <w:t xml:space="preserve">This research received no specific grant from any funding agency in the public, commercial, or not-for-profit sectors.</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Ethics approval.</w:t>
      </w:r>
      <w:r>
        <w:t xml:space="preserve"> </w:t>
      </w:r>
      <w:r>
        <w:t xml:space="preserve">Not applicable. The study is a secondary analysis of publicly available, non-human evaluation data and involved no human participants.</w:t>
      </w:r>
    </w:p>
    <w:p>
      <w:pPr>
        <w:pStyle w:val="BodyText"/>
      </w:pPr>
      <w:r>
        <w:rPr>
          <w:i/>
          <w:iCs/>
        </w:rPr>
        <w:t xml:space="preserve">Data and code availability.</w:t>
      </w:r>
      <w:r>
        <w:t xml:space="preserve"> </w:t>
      </w:r>
      <w:r>
        <w:t xml:space="preserve">See the Open Practices Statement.</w:t>
      </w:r>
    </w:p>
    <w:p>
      <w:pPr>
        <w:pStyle w:val="BodyText"/>
      </w:pPr>
      <w:r>
        <w:rPr>
          <w:i/>
          <w:iCs/>
        </w:rPr>
        <w:t xml:space="preserve">Author contributions.</w:t>
      </w:r>
      <w:r>
        <w:t xml:space="preserve"> </w:t>
      </w:r>
      <w:r>
        <w:t xml:space="preserve">X. Xiao is the sole author and is responsible for all aspects of the work (conceptualization, methodology, software, formal analysis, writing, and visualization).</w:t>
      </w:r>
    </w:p>
    <w:bookmarkEnd w:id="56"/>
    <w:bookmarkStart w:id="57" w:name="computational-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bookmarkEnd w:id="57"/>
    <w:bookmarkStart w:id="73" w:name="references"/>
    <w:p>
      <w:pPr>
        <w:pStyle w:val="Heading1"/>
      </w:pPr>
      <w:r>
        <w:t xml:space="preserve">References</w:t>
      </w:r>
    </w:p>
    <w:bookmarkStart w:id="72" w:name="refs"/>
    <w:bookmarkStart w:id="58"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58"/>
    <w:bookmarkStart w:id="59"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59"/>
    <w:bookmarkStart w:id="60"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0"/>
    <w:bookmarkStart w:id="61"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1"/>
    <w:bookmarkStart w:id="62"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2"/>
    <w:bookmarkStart w:id="63"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3"/>
    <w:bookmarkStart w:id="64"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4"/>
    <w:bookmarkStart w:id="65"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5"/>
    <w:bookmarkStart w:id="66"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6"/>
    <w:bookmarkStart w:id="67"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7"/>
    <w:bookmarkStart w:id="68"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68"/>
    <w:bookmarkStart w:id="69"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69"/>
    <w:bookmarkStart w:id="70"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0"/>
    <w:bookmarkStart w:id="71"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1"/>
    <w:bookmarkEnd w:id="72"/>
    <w:sectPr>
      <w:lnNumType w:countBy="1" w:restart="continuous"/>
    </w:sectPr>
    <w:bookmarkEnd w:id="7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2026-07-02T01:04:07Z</dcterms:created>
  <dcterms:modified xsi:type="dcterms:W3CDTF">2026-07-02T01:04:07Z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+0.19 accuracy points for test-set leakage) and never flags a negative-control model trained only on the legitimate training split (-0.01).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Leaderboards: A Ground-Truth-Calibrated Measurement-Invariance Audit of Language Model Benchmarks</vt:lpwstr>
  </property>
  <property fmtid="{D5CDD505-2E9C-101B-9397-08002B2CF9AE}" pid="7" name="apatitledisplay">
    <vt:lpwstr>Contamination Inflates Scores but Rarely Reorders Leaderboards: A Ground-Truth-Calibrated Measurement-Invariance Audit of Language Model Benchmarks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3164</vt:lpwstr>
  </property>
  <property fmtid="{D5CDD505-2E9C-101B-9397-08002B2CF9AE}" pid="62" name="zerocitations">
    <vt:lpwstr>False</vt:lpwstr>
  </property>
</Properties>
</file>