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23.svg" ContentType="image/svg+xml"/>
  <Override PartName="/word/media/rId49.png" ContentType="image/png"/>
  <Override PartName="/word/media/rId54.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Large Language Model Leaderboards</w:t>
      </w:r>
    </w:p>
    <w:p>
      <w:pPr>
        <w:pStyle w:val="Author"/>
      </w:pPr>
      <w:r>
        <w:t xml:space="preserve"> </w:t>
      </w:r>
    </w:p>
    <w:p>
      <w:pPr>
        <w:pStyle w:val="Author"/>
      </w:pPr>
      <w:r>
        <w:t xml:space="preserve">Xingyao (Doria) Xiao</w:t>
      </w:r>
      <w:r>
        <w:rPr>
          <w:vertAlign w:val="superscript"/>
        </w:rPr>
        <w:t xml:space="preserve">1</w:t>
      </w:r>
      <w:r>
        <w:t xml:space="preserve"> and Yihong Cheng</w:t>
      </w:r>
      <w:r>
        <w:rPr>
          <w:vertAlign w:val="superscript"/>
        </w:rPr>
        <w:t xml:space="preserve">2</w:t>
      </w:r>
    </w:p>
    <w:p>
      <w:pPr>
        <w:pStyle w:val="Author"/>
      </w:pPr>
      <w:r>
        <w:rPr>
          <w:vertAlign w:val="superscript"/>
        </w:rPr>
        <w:t xml:space="preserve">1</w:t>
      </w:r>
      <w:r>
        <w:t xml:space="preserve">Graduate School of Education, Stanford University</w:t>
      </w:r>
    </w:p>
    <w:p>
      <w:pPr>
        <w:pStyle w:val="Author"/>
      </w:pPr>
      <w:r>
        <w:rPr>
          <w:vertAlign w:val="superscript"/>
        </w:rPr>
        <w:t xml:space="preserve">2</w:t>
      </w:r>
      <w:r>
        <w:t xml:space="preserve">School of Education, City University of Macau</w:t>
      </w:r>
    </w:p>
    <w:p>
      <w:pPr>
        <w:pStyle w:val="BodyText"/>
      </w:pPr>
      <w:r>
        <w:t xml:space="preserve"> </w:t>
      </w:r>
    </w:p>
    <w:p>
      <w:pPr>
        <w:pStyle w:val="BodyText"/>
      </w:pPr>
      <w:r>
        <w:t xml:space="preserve"> </w:t>
      </w:r>
    </w:p>
    <w:bookmarkEnd w:id="22"/>
    <w:bookmarkStart w:id="29" w:name="author-note"/>
    <w:p>
      <w:pPr>
        <w:pStyle w:val="Heading1"/>
      </w:pPr>
      <w:r>
        <w:t xml:space="preserve">Author Note</w:t>
      </w:r>
    </w:p>
    <w:p>
      <w:pPr>
        <w:pStyle w:val="FirstParagraph"/>
      </w:pPr>
      <w:r>
        <w:t xml:space="preserve">Xingyao (Doria) Xiao</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https://orcid.org/0000-0001-8430-0438</w:t>
        </w:r>
      </w:hyperlink>
    </w:p>
    <w:p>
      <w:pPr>
        <w:pStyle w:val="BodyText"/>
      </w:pPr>
      <w:r>
        <w:t xml:space="preserve">Correspondence concerning this article should be addressed to Xingyao (Doria) Xiao, Graduate School of Education, Stanford University, 485 Lasuen Mall, Stanford, CA 94305, United States, Email:</w:t>
      </w:r>
      <w:r>
        <w:t xml:space="preserve"> </w:t>
      </w:r>
      <w:hyperlink r:id="rId28">
        <w:r>
          <w:rPr>
            <w:rStyle w:val="Hyperlink"/>
          </w:rPr>
          <w:t xml:space="preserve">xiaoxg@berkeley.edu</w:t>
        </w:r>
      </w:hyperlink>
    </w:p>
    <w:p>
      <w:r>
        <w:br w:type="page"/>
      </w:r>
    </w:p>
    <w:bookmarkEnd w:id="29"/>
    <w:bookmarkStart w:id="30" w:name="abstract"/>
    <w:p>
      <w:pPr>
        <w:pStyle w:val="Heading1"/>
      </w:pPr>
      <w:r>
        <w:t xml:space="preserve">Abstract</w:t>
      </w:r>
    </w:p>
    <w:p>
      <w:pPr>
        <w:pStyle w:val="AbstractFirstParagraph"/>
      </w:pPr>
      <w:r>
        <w:t xml:space="preserve">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w:t>
      </w:r>
    </w:p>
    <w:p>
      <w:pPr>
        <w:pStyle w:val="BodyText"/>
      </w:pPr>
      <w:r>
        <w:rPr>
          <w:i/>
          <w:iCs/>
        </w:rPr>
        <w:t xml:space="preserve">Keywords</w:t>
      </w:r>
      <w:r>
        <w:t xml:space="preserve">: benchmark contamination, item response theory, measurement invariance, differential item functioning, large language model (LLM) evaluation</w:t>
      </w:r>
    </w:p>
    <w:p>
      <w:r>
        <w:br w:type="page"/>
      </w:r>
    </w:p>
    <w:bookmarkEnd w:id="30"/>
    <w:bookmarkStart w:id="31" w:name="firstheader"/>
    <w:p>
      <w:pPr>
        <w:pStyle w:val="Heading1"/>
      </w:pPr>
      <w:r>
        <w:t xml:space="preserve">Contamination Inflates Scores but Rarely Reorders Large Language Model Leaderboards</w:t>
      </w:r>
    </w:p>
    <w:bookmarkEnd w:id="31"/>
    <w:bookmarkStart w:id="34"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Item response theory (IRT) makes the comparative structure explicit. IRT-based evaluation places models and items on a common latent scale and links benchmarks through anchor items that are assumed to function equivalently across models</w:t>
      </w:r>
      <w:r>
        <w:t xml:space="preserve"> </w:t>
      </w:r>
      <w:r>
        <w:t xml:space="preserve">(</w:t>
      </w:r>
      <w:hyperlink w:anchor="ref-federiakin2025psychometric">
        <w:r>
          <w:rPr>
            <w:rStyle w:val="Hyperlink"/>
          </w:rPr>
          <w:t xml:space="preserve">Federiakin, 2025</w:t>
        </w:r>
      </w:hyperlink>
      <w:r>
        <w:t xml:space="preserve">;</w:t>
      </w:r>
      <w:r>
        <w:t xml:space="preserve"> </w:t>
      </w:r>
      <w:hyperlink w:anchor="ref-lord1980irt">
        <w:r>
          <w:rPr>
            <w:rStyle w:val="Hyperlink"/>
          </w:rPr>
          <w:t xml:space="preserve">Lord, 1980</w:t>
        </w:r>
      </w:hyperlink>
      <w:r>
        <w:t xml:space="preserve">;</w:t>
      </w:r>
      <w:r>
        <w:t xml:space="preserve"> </w:t>
      </w:r>
      <w:hyperlink w:anchor="ref-polo2024tinybenchmarks">
        <w:r>
          <w:rPr>
            <w:rStyle w:val="Hyperlink"/>
          </w:rPr>
          <w:t xml:space="preserve">Polo et al., 2024</w:t>
        </w:r>
      </w:hyperlink>
      <w:r>
        <w:t xml:space="preserve">;</w:t>
      </w:r>
      <w:r>
        <w:t xml:space="preserve"> </w:t>
      </w:r>
      <w:hyperlink w:anchor="ref-ye2025psychometrics">
        <w:r>
          <w:rPr>
            <w:rStyle w:val="Hyperlink"/>
          </w:rPr>
          <w:t xml:space="preserve">Ye et al., 2025</w:t>
        </w:r>
      </w:hyperlink>
      <w:r>
        <w:t xml:space="preserve">;</w:t>
      </w:r>
      <w:r>
        <w:t xml:space="preserve"> </w:t>
      </w:r>
      <w:hyperlink w:anchor="ref-zhou2026lost">
        <w:r>
          <w:rPr>
            <w:rStyle w:val="Hyperlink"/>
          </w:rPr>
          <w:t xml:space="preserve">Zhou et al., 2026</w:t>
        </w:r>
      </w:hyperlink>
      <w:r>
        <w:t xml:space="preserve">)</w:t>
      </w:r>
      <w:r>
        <w:t xml:space="preserve">. A contaminated item violates this assumption: it is differentially easy for the models that memorized it, which is precisely the definition of differential item functioning (DIF) in psychometrics</w:t>
      </w:r>
      <w:r>
        <w:t xml:space="preserve"> </w:t>
      </w:r>
      <w:r>
        <w:t xml:space="preserve">(</w:t>
      </w:r>
      <w:hyperlink w:anchor="ref-holland1988dif">
        <w:r>
          <w:rPr>
            <w:rStyle w:val="Hyperlink"/>
          </w:rPr>
          <w:t xml:space="preserve">Holland &amp; Thayer, 1988</w:t>
        </w:r>
      </w:hyperlink>
      <w:r>
        <w:t xml:space="preserve">;</w:t>
      </w:r>
      <w:r>
        <w:t xml:space="preserve"> </w:t>
      </w:r>
      <w:hyperlink w:anchor="ref-meredith1993invariance">
        <w:r>
          <w:rPr>
            <w:rStyle w:val="Hyperlink"/>
          </w:rPr>
          <w:t xml:space="preserve">Meredith, 1993</w:t>
        </w:r>
      </w:hyperlink>
      <w:r>
        <w:t xml:space="preserve">;</w:t>
      </w:r>
      <w:r>
        <w:t xml:space="preserve"> </w:t>
      </w:r>
      <w:hyperlink w:anchor="ref-swaminathan1990dif">
        <w:r>
          <w:rPr>
            <w:rStyle w:val="Hyperlink"/>
          </w:rPr>
          <w:t xml:space="preserve">Swaminathan &amp; Rogers, 1990</w:t>
        </w:r>
      </w:hyperlink>
      <w:r>
        <w:t xml:space="preserve">)</w:t>
      </w:r>
      <w:r>
        <w:t xml:space="preserve">.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bookmarkStart w:id="32" w:name="contamination-as-anchor-item-invariance"/>
    <w:p>
      <w:pPr>
        <w:pStyle w:val="Heading2"/>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32"/>
    <w:bookmarkStart w:id="33" w:name="the-present-study"/>
    <w:p>
      <w:pPr>
        <w:pStyle w:val="Heading2"/>
      </w:pPr>
      <w:r>
        <w:t xml:space="preserve">The Present Study</w:t>
      </w:r>
    </w:p>
    <w:p>
      <w:pPr>
        <w:pStyle w:val="FirstParagraph"/>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33"/>
    <w:bookmarkEnd w:id="34"/>
    <w:bookmarkStart w:id="38" w:name="method"/>
    <w:p>
      <w:pPr>
        <w:pStyle w:val="Heading1"/>
      </w:pPr>
      <w:r>
        <w:t xml:space="preserve">Method</w:t>
      </w:r>
    </w:p>
    <w:bookmarkStart w:id="35"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group consists of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35"/>
    <w:bookmarkStart w:id="36"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Rasch model, in which the probability that model</w:t>
      </w:r>
      <w:r>
        <w:t xml:space="preserve"> </w:t>
      </w:r>
      <m:oMath>
        <m:r>
          <m:t>m</m:t>
        </m:r>
      </m:oMath>
      <w:r>
        <w:t xml:space="preserve"> </w:t>
      </w:r>
      <w:r>
        <w:t xml:space="preserve">answers item</w:t>
      </w:r>
      <w:r>
        <w:t xml:space="preserve"> </w:t>
      </w:r>
      <m:oMath>
        <m:r>
          <m:t>i</m:t>
        </m:r>
      </m:oMath>
      <w:r>
        <w:t xml:space="preserve"> </w:t>
      </w:r>
      <w:r>
        <w:t xml:space="preserve">correctly is the logistic function of</w:t>
      </w:r>
      <w:r>
        <w:t xml:space="preserve"> </w:t>
      </w:r>
      <m:oMath>
        <m:sSub>
          <m:e>
            <m:r>
              <m:t>θ</m:t>
            </m:r>
          </m:e>
          <m:sub>
            <m:r>
              <m:t>m</m:t>
            </m:r>
          </m:sub>
        </m:sSub>
        <m:r>
          <m:rPr>
            <m:sty m:val="p"/>
          </m:rPr>
          <m:t>−</m:t>
        </m:r>
        <m:sSub>
          <m:e>
            <m:r>
              <m:t>b</m:t>
            </m:r>
          </m:e>
          <m:sub>
            <m:r>
              <m:t>i</m:t>
            </m:r>
          </m:sub>
        </m:sSub>
      </m:oMath>
      <w:r>
        <w:t xml:space="preserve">. Parameters are fit by penalized joint maximum likelihood: alternating Newton updates of abilities and difficulties, each with a ridge penalty (</w:t>
      </w:r>
      <m:oMath>
        <m:r>
          <m:t>λ</m:t>
        </m:r>
        <m:r>
          <m:rPr>
            <m:sty m:val="p"/>
          </m:rPr>
          <m:t>=</m:t>
        </m:r>
        <m:r>
          <m:t>0.1</m:t>
        </m:r>
      </m:oMath>
      <w:r>
        <w:t xml:space="preserve">, equivalent to a normal prior) that keeps estimates finite for models with near-perfect or near-zero scores, and abilities centered at zero for identification. Joint maximum likelihood is defensible here because each model answers hundreds to thousands of items, the regime in which its finite-sample bias is negligible, and the robustness checks show that the ranking conclusion survives replacing the Rasch model with raw accuracy entirely. The model is fit separately to the original and to the paraphrased responses, and the resulting rankings of LLMs are compared.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6"/>
    <w:bookmarkStart w:id="37" w:name="sensitivity-analysis"/>
    <w:p>
      <w:pPr>
        <w:pStyle w:val="Heading2"/>
      </w:pPr>
      <w:r>
        <w:t xml:space="preserve">Sensitivity analysis</w:t>
      </w:r>
    </w:p>
    <w:p>
      <w:pPr>
        <w:pStyle w:val="FirstParagraph"/>
      </w:pPr>
      <w:r>
        <w:t xml:space="preserve">We characterize the detection floor in three ways: the detection rate of the audit by contamination condition in the controlled group; a minimum detectable effect, computed as 2.8 times the standard error of the mean item-level gap for a clean model (the sum of the two-sided 5 percent and the 80 percent power normal quantiles);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7"/>
    <w:bookmarkEnd w:id="38"/>
    <w:bookmarkStart w:id="59" w:name="results"/>
    <w:p>
      <w:pPr>
        <w:pStyle w:val="Heading1"/>
      </w:pPr>
      <w:r>
        <w:t xml:space="preserve">Results</w:t>
      </w:r>
    </w:p>
    <w:bookmarkStart w:id="43"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42"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40" name="Picture"/>
            <a:graphic>
              <a:graphicData uri="http://schemas.openxmlformats.org/drawingml/2006/picture">
                <pic:pic>
                  <pic:nvPicPr>
                    <pic:cNvPr descr="../figures/fig_exposure_matrix.png" id="41" name="Picture"/>
                    <pic:cNvPicPr>
                      <a:picLocks noChangeArrowheads="1" noChangeAspect="1"/>
                    </pic:cNvPicPr>
                  </pic:nvPicPr>
                  <pic:blipFill>
                    <a:blip r:embed="rId39"/>
                    <a:stretch>
                      <a:fillRect/>
                    </a:stretch>
                  </pic:blipFill>
                  <pic:spPr bwMode="auto">
                    <a:xfrm>
                      <a:off x="0" y="0"/>
                      <a:ext cx="5943600" cy="3241963"/>
                    </a:xfrm>
                    <a:prstGeom prst="rect">
                      <a:avLst/>
                    </a:prstGeom>
                    <a:noFill/>
                    <a:ln w="9525">
                      <a:noFill/>
                      <a:headEnd/>
                      <a:tailEnd/>
                    </a:ln>
                  </pic:spPr>
                </pic:pic>
              </a:graphicData>
            </a:graphic>
          </wp:inline>
        </w:drawing>
      </w:r>
    </w:p>
    <w:bookmarkEnd w:id="42"/>
    <w:bookmarkEnd w:id="43"/>
    <w:bookmarkStart w:id="48"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(SD = 0.035), indistinguishable from zero, so legitimate exposure to training data is not mistaken for contamination. Test-set leakage produces a corrected effect of +0.187 (SD = 0.146), a higher learning rate +0.226 (SD = 0.162), and the lower-dose conditions fall in between (repeat_1, +0.062; lr_1e-5, +0.114).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7"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45" name="Picture"/>
            <a:graphic>
              <a:graphicData uri="http://schemas.openxmlformats.org/drawingml/2006/picture">
                <pic:pic>
                  <pic:nvPicPr>
                    <pic:cNvPr descr="anchor_dif_files/figure-docx/fig-validation-1.png" id="46" name="Picture"/>
                    <pic:cNvPicPr>
                      <a:picLocks noChangeArrowheads="1" noChangeAspect="1"/>
                    </pic:cNvPicPr>
                  </pic:nvPicPr>
                  <pic:blipFill>
                    <a:blip r:embed="rId44"/>
                    <a:stretch>
                      <a:fillRect/>
                    </a:stretch>
                  </pic:blipFill>
                  <pic:spPr bwMode="auto">
                    <a:xfrm>
                      <a:off x="0" y="0"/>
                      <a:ext cx="5943600" cy="2924175"/>
                    </a:xfrm>
                    <a:prstGeom prst="rect">
                      <a:avLst/>
                    </a:prstGeom>
                    <a:noFill/>
                    <a:ln w="9525">
                      <a:noFill/>
                      <a:headEnd/>
                      <a:tailEnd/>
                    </a:ln>
                  </pic:spPr>
                </pic:pic>
              </a:graphicData>
            </a:graphic>
          </wp:inline>
        </w:drawing>
      </w:r>
    </w:p>
    <w:bookmarkEnd w:id="47"/>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48"/>
    <w:bookmarkStart w:id="53"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52"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50" name="Picture"/>
            <a:graphic>
              <a:graphicData uri="http://schemas.openxmlformats.org/drawingml/2006/picture">
                <pic:pic>
                  <pic:nvPicPr>
                    <pic:cNvPr descr="anchor_dif_files/figure-docx/fig-leaderboard-1.png" id="51" name="Picture"/>
                    <pic:cNvPicPr>
                      <a:picLocks noChangeArrowheads="1" noChangeAspect="1"/>
                    </pic:cNvPicPr>
                  </pic:nvPicPr>
                  <pic:blipFill>
                    <a:blip r:embed="rId49"/>
                    <a:stretch>
                      <a:fillRect/>
                    </a:stretch>
                  </pic:blipFill>
                  <pic:spPr bwMode="auto">
                    <a:xfrm>
                      <a:off x="0" y="0"/>
                      <a:ext cx="5943600" cy="3657600"/>
                    </a:xfrm>
                    <a:prstGeom prst="rect">
                      <a:avLst/>
                    </a:prstGeom>
                    <a:noFill/>
                    <a:ln w="9525">
                      <a:noFill/>
                      <a:headEnd/>
                      <a:tailEnd/>
                    </a:ln>
                  </pic:spPr>
                </pic:pic>
              </a:graphicData>
            </a:graphic>
          </wp:inline>
        </w:drawing>
      </w:r>
    </w:p>
    <w:bookmarkEnd w:id="52"/>
    <w:bookmarkEnd w:id="53"/>
    <w:bookmarkStart w:id="58"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57"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55" name="Picture"/>
            <a:graphic>
              <a:graphicData uri="http://schemas.openxmlformats.org/drawingml/2006/picture">
                <pic:pic>
                  <pic:nvPicPr>
                    <pic:cNvPr descr="anchor_dif_files/figure-docx/fig-sensitivity-1.png" id="56" name="Picture"/>
                    <pic:cNvPicPr>
                      <a:picLocks noChangeArrowheads="1" noChangeAspect="1"/>
                    </pic:cNvPicPr>
                  </pic:nvPicPr>
                  <pic:blipFill>
                    <a:blip r:embed="rId54"/>
                    <a:stretch>
                      <a:fillRect/>
                    </a:stretch>
                  </pic:blipFill>
                  <pic:spPr bwMode="auto">
                    <a:xfrm>
                      <a:off x="0" y="0"/>
                      <a:ext cx="5943600" cy="3105150"/>
                    </a:xfrm>
                    <a:prstGeom prst="rect">
                      <a:avLst/>
                    </a:prstGeom>
                    <a:noFill/>
                    <a:ln w="9525">
                      <a:noFill/>
                      <a:headEnd/>
                      <a:tailEnd/>
                    </a:ln>
                  </pic:spPr>
                </pic:pic>
              </a:graphicData>
            </a:graphic>
          </wp:inline>
        </w:drawing>
      </w:r>
    </w:p>
    <w:bookmarkEnd w:id="57"/>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so it is not an artifact of pooling. It does not depend on the ability model either: ranking models by raw pooled accuracy rather than Rasch ability leaves the standard-versus-paraphrase correlation at 0.997 (nonparametric bootstrap over models, 2,000 resamples, 95% CI [0.988, 0.999]). Finally, requiring a case to exceed the detection floor on both the paraphrase and the synthetic reference, which guards against the multiplicity of testing 188 model-by-benchmark combinations, leaves 3 corroborated cases (Qwen1.5-110B-Chat on GSM8K; Qwen1.5-72B-Chat on MMLU; Yi-34B on MMLU). These are model-level judgments, distinct from the item-level flagged anchors above: an item is flagged when it functions differently for all models after paraphrasing, whereas a corroborated case is a single model outperforming its peers on original wording.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End w:id="58"/>
    <w:bookmarkEnd w:id="59"/>
    <w:bookmarkStart w:id="60"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60"/>
    <w:bookmarkStart w:id="62" w:name="declarations"/>
    <w:p>
      <w:pPr>
        <w:pStyle w:val="Heading1"/>
      </w:pPr>
      <w:r>
        <w:t xml:space="preserve">Declarations</w:t>
      </w:r>
    </w:p>
    <w:p>
      <w:pPr>
        <w:pStyle w:val="FirstParagraph"/>
      </w:pPr>
      <w:r>
        <w:rPr>
          <w:i/>
          <w:iCs/>
        </w:rPr>
        <w:t xml:space="preserve">Funding.</w:t>
      </w:r>
      <w:r>
        <w:t xml:space="preserve"> </w:t>
      </w:r>
      <w:r>
        <w:t xml:space="preserve">No funding was received for conducting this study.</w:t>
      </w:r>
    </w:p>
    <w:p>
      <w:pPr>
        <w:pStyle w:val="BodyText"/>
      </w:pPr>
      <w:r>
        <w:rPr>
          <w:i/>
          <w:iCs/>
        </w:rPr>
        <w:t xml:space="preserve">Conflicts of interest / Competing interests.</w:t>
      </w:r>
      <w:r>
        <w:t xml:space="preserve"> </w:t>
      </w:r>
      <w:r>
        <w:t xml:space="preserve">The authors have no competing interests to declare that are relevant to the content of this article.</w:t>
      </w:r>
    </w:p>
    <w:p>
      <w:pPr>
        <w:pStyle w:val="BodyText"/>
      </w:pPr>
      <w:r>
        <w:rPr>
          <w:i/>
          <w:iCs/>
        </w:rPr>
        <w:t xml:space="preserve">Ethics approval.</w:t>
      </w:r>
      <w:r>
        <w:t xml:space="preserve"> </w:t>
      </w:r>
      <w:r>
        <w:t xml:space="preserve">Not applicable. The study is a secondary analysis of publicly available, non-human model-evaluation data and involved no human or animal participants.</w:t>
      </w:r>
    </w:p>
    <w:p>
      <w:pPr>
        <w:pStyle w:val="BodyText"/>
      </w:pPr>
      <w:r>
        <w:rPr>
          <w:i/>
          <w:iCs/>
        </w:rPr>
        <w:t xml:space="preserve">Consent to participate.</w:t>
      </w:r>
      <w:r>
        <w:t xml:space="preserve"> </w:t>
      </w:r>
      <w:r>
        <w:t xml:space="preserve">Not applicable.</w:t>
      </w:r>
    </w:p>
    <w:p>
      <w:pPr>
        <w:pStyle w:val="BodyText"/>
      </w:pPr>
      <w:r>
        <w:rPr>
          <w:i/>
          <w:iCs/>
        </w:rPr>
        <w:t xml:space="preserve">Consent for publication.</w:t>
      </w:r>
      <w:r>
        <w:t xml:space="preserve"> </w:t>
      </w:r>
      <w:r>
        <w:t xml:space="preserve">Not applicable.</w:t>
      </w:r>
    </w:p>
    <w:p>
      <w:pPr>
        <w:pStyle w:val="BodyText"/>
      </w:pPr>
      <w:r>
        <w:rPr>
          <w:i/>
          <w:iCs/>
        </w:rPr>
        <w:t xml:space="preserve">Availability of data and materials.</w:t>
      </w:r>
      <w:r>
        <w:t xml:space="preserve"> </w:t>
      </w:r>
      <w:r>
        <w:t xml:space="preserve">The datasets analyzed during the current study (the derived model-by-item response matrices) are available in the anchor-dif repository,</w:t>
      </w:r>
      <w:r>
        <w:t xml:space="preserve"> </w:t>
      </w:r>
      <w:hyperlink r:id="rId61">
        <w:r>
          <w:rPr>
            <w:rStyle w:val="Hyperlink"/>
          </w:rPr>
          <w:t xml:space="preserve">https://github.com/DoriaXiao/anchor-dif</w:t>
        </w:r>
      </w:hyperlink>
      <w:r>
        <w:t xml:space="preserve">.</w:t>
      </w:r>
    </w:p>
    <w:p>
      <w:pPr>
        <w:pStyle w:val="BodyText"/>
      </w:pPr>
      <w:r>
        <w:rPr>
          <w:i/>
          <w:iCs/>
        </w:rPr>
        <w:t xml:space="preserve">Code availability.</w:t>
      </w:r>
      <w:r>
        <w:t xml:space="preserve"> </w:t>
      </w:r>
      <w:r>
        <w:t xml:space="preserve">The analysis code is the manuscript source itself and is available in the same repository,</w:t>
      </w:r>
      <w:r>
        <w:t xml:space="preserve"> </w:t>
      </w:r>
      <w:hyperlink r:id="rId61">
        <w:r>
          <w:rPr>
            <w:rStyle w:val="Hyperlink"/>
          </w:rPr>
          <w:t xml:space="preserve">https://github.com/DoriaXiao/anchor-dif</w:t>
        </w:r>
      </w:hyperlink>
      <w:r>
        <w:t xml:space="preserve">.</w:t>
      </w:r>
    </w:p>
    <w:p>
      <w:pPr>
        <w:pStyle w:val="BodyText"/>
      </w:pPr>
      <w:r>
        <w:rPr>
          <w:i/>
          <w:iCs/>
        </w:rPr>
        <w:t xml:space="preserve">Authors’ contributions.</w:t>
      </w:r>
      <w:r>
        <w:t xml:space="preserve"> </w:t>
      </w:r>
      <w:r>
        <w:t xml:space="preserve">X. Xiao is the corresponding author and is responsible for all aspects of the work (conceptualization, methodology, software, formal analysis, writing, and visualization). Y. Cheng is the second author and is responsible for writing, reviewing, and editing.</w:t>
      </w:r>
    </w:p>
    <w:bookmarkEnd w:id="62"/>
    <w:bookmarkStart w:id="63"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w:t>
      </w:r>
      <w:r>
        <w:t xml:space="preserve"> </w:t>
      </w:r>
      <w:hyperlink r:id="rId61">
        <w:r>
          <w:rPr>
            <w:rStyle w:val="Hyperlink"/>
          </w:rPr>
          <w:t xml:space="preserve">https://github.com/DoriaXiao/anchor-dif</w:t>
        </w:r>
      </w:hyperlink>
      <w:r>
        <w:t xml:space="preserve">.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63"/>
    <w:bookmarkStart w:id="79" w:name="references"/>
    <w:p>
      <w:pPr>
        <w:pStyle w:val="Heading1"/>
      </w:pPr>
      <w:r>
        <w:t xml:space="preserve">References</w:t>
      </w:r>
    </w:p>
    <w:bookmarkStart w:id="78" w:name="refs"/>
    <w:bookmarkStart w:id="64" w:name="ref-dekoninck2024evading"/>
    <w:p>
      <w:pPr>
        <w:pStyle w:val="Bibliography"/>
      </w:pPr>
      <w:r>
        <w:t xml:space="preserve">Dekoninck, J., Müller, M. N., Baader, M., Fischer, M., &amp; Vechev, M. (2024).</w:t>
      </w:r>
      <w:r>
        <w:t xml:space="preserve"> </w:t>
      </w:r>
      <w:r>
        <w:rPr>
          <w:i/>
          <w:iCs/>
        </w:rPr>
        <w:t xml:space="preserve">Evading data contamination detection for language models is (too) easy</w:t>
      </w:r>
      <w:r>
        <w:t xml:space="preserve">.</w:t>
      </w:r>
    </w:p>
    <w:bookmarkEnd w:id="64"/>
    <w:bookmarkStart w:id="65"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65"/>
    <w:bookmarkStart w:id="66" w:name="ref-federiakin2025psychometric"/>
    <w:p>
      <w:pPr>
        <w:pStyle w:val="Bibliography"/>
      </w:pPr>
      <w:r>
        <w:t xml:space="preserve">Federiakin, D. (2025).</w:t>
      </w:r>
      <w:r>
        <w:t xml:space="preserve"> </w:t>
      </w:r>
      <w:r>
        <w:rPr>
          <w:i/>
          <w:iCs/>
        </w:rPr>
        <w:t xml:space="preserve">Improving</w:t>
      </w:r>
      <w:r>
        <w:rPr>
          <w:i/>
          <w:iCs/>
        </w:rPr>
        <w:t xml:space="preserve"> </w:t>
      </w:r>
      <w:r>
        <w:rPr>
          <w:i/>
          <w:iCs/>
        </w:rPr>
        <w:t xml:space="preserve">LLM</w:t>
      </w:r>
      <w:r>
        <w:rPr>
          <w:i/>
          <w:iCs/>
        </w:rPr>
        <w:t xml:space="preserve"> </w:t>
      </w:r>
      <w:r>
        <w:rPr>
          <w:i/>
          <w:iCs/>
        </w:rPr>
        <w:t xml:space="preserve">leaderboards with psychometrical methodology</w:t>
      </w:r>
      <w:r>
        <w:t xml:space="preserve">.</w:t>
      </w:r>
    </w:p>
    <w:bookmarkEnd w:id="66"/>
    <w:bookmarkStart w:id="67"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w:t>
      </w:r>
      <w:r>
        <w:t xml:space="preserve"> </w:t>
      </w:r>
      <w:r>
        <w:rPr>
          <w:i/>
          <w:iCs/>
        </w:rPr>
        <w:t xml:space="preserve">Test Validity</w:t>
      </w:r>
      <w:r>
        <w:t xml:space="preserve">, 129–145.</w:t>
      </w:r>
    </w:p>
    <w:bookmarkEnd w:id="67"/>
    <w:bookmarkStart w:id="68"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68"/>
    <w:bookmarkStart w:id="69"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69"/>
    <w:bookmarkStart w:id="70"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70"/>
    <w:bookmarkStart w:id="71" w:name="ref-navarrocarranza2025brittleness"/>
    <w:p>
      <w:pPr>
        <w:pStyle w:val="Bibliography"/>
      </w:pPr>
      <w:r>
        <w:t xml:space="preserve">Navarro Carranza, J. M. (2025).</w:t>
      </w:r>
      <w:r>
        <w:t xml:space="preserve"> </w:t>
      </w:r>
      <w:r>
        <w:rPr>
          <w:i/>
          <w:iCs/>
        </w:rPr>
        <w:t xml:space="preserve">LLMs</w:t>
      </w:r>
      <w:r>
        <w:rPr>
          <w:i/>
          <w:iCs/>
        </w:rPr>
        <w:t xml:space="preserve"> </w:t>
      </w:r>
      <w:r>
        <w:rPr>
          <w:i/>
          <w:iCs/>
        </w:rPr>
        <w:t xml:space="preserve">show surface-form brittleness under paraphrase stress tests</w:t>
      </w:r>
      <w:r>
        <w:t xml:space="preserve">.</w:t>
      </w:r>
    </w:p>
    <w:bookmarkEnd w:id="71"/>
    <w:bookmarkStart w:id="72"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72"/>
    <w:bookmarkStart w:id="73"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73"/>
    <w:bookmarkStart w:id="74" w:name="ref-wang2025fragility"/>
    <w:p>
      <w:pPr>
        <w:pStyle w:val="Bibliography"/>
      </w:pPr>
      <w:r>
        <w:t xml:space="preserve">Wang, H., Li, H., Ko, B., &amp; Zhang, H. (2025).</w:t>
      </w:r>
      <w:r>
        <w:t xml:space="preserve"> </w:t>
      </w:r>
      <w:r>
        <w:rPr>
          <w:i/>
          <w:iCs/>
        </w:rPr>
        <w:t xml:space="preserve">On the fragility of benchmark contamination detection in reasoning models</w:t>
      </w:r>
      <w:r>
        <w:t xml:space="preserve">.</w:t>
      </w:r>
    </w:p>
    <w:bookmarkEnd w:id="74"/>
    <w:bookmarkStart w:id="75" w:name="ref-yang2023rephrased"/>
    <w:p>
      <w:pPr>
        <w:pStyle w:val="Bibliography"/>
      </w:pPr>
      <w:r>
        <w:t xml:space="preserve">Yang, S., Chiang, W.-L., Zheng, L., Gonzalez, J. E., &amp; Stoica, I. (2023).</w:t>
      </w:r>
      <w:r>
        <w:t xml:space="preserve"> </w:t>
      </w:r>
      <w:r>
        <w:rPr>
          <w:i/>
          <w:iCs/>
        </w:rPr>
        <w:t xml:space="preserve">Rethinking benchmark and contamination for language models with rephrased samples</w:t>
      </w:r>
      <w:r>
        <w:t xml:space="preserve">.</w:t>
      </w:r>
    </w:p>
    <w:bookmarkEnd w:id="75"/>
    <w:bookmarkStart w:id="76" w:name="ref-ye2025psychometrics"/>
    <w:p>
      <w:pPr>
        <w:pStyle w:val="Bibliography"/>
      </w:pPr>
      <w:r>
        <w:t xml:space="preserve">Ye, H., Jin, J., Xie, Y., Zhang, X., &amp; Song, G. (2025).</w:t>
      </w:r>
      <w:r>
        <w:t xml:space="preserve"> </w:t>
      </w:r>
      <w:r>
        <w:rPr>
          <w:i/>
          <w:iCs/>
        </w:rPr>
        <w:t xml:space="preserve">Large language model psychometrics: A systematic review of evaluation, validation, and enhancement</w:t>
      </w:r>
      <w:r>
        <w:t xml:space="preserve">.</w:t>
      </w:r>
    </w:p>
    <w:bookmarkEnd w:id="76"/>
    <w:bookmarkStart w:id="77"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77"/>
    <w:bookmarkEnd w:id="78"/>
    <w:p>
      <w:r>
        <w:br w:type="page"/>
      </w:r>
    </w:p>
    <w:bookmarkEnd w:id="79"/>
    <w:p>
      <w:pPr>
        <w:pStyle w:val="Heading1"/>
      </w:pPr>
      <w:r>
        <w:t xml:space="preserve">Appendix</w:t>
      </w:r>
    </w:p>
    <w:bookmarkStart w:id="80" w:name="apx-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sectPr>
      <w:lnNumType w:countBy="1" w:restart="continuous"/>
    </w:sectPr>
    <w:bookmarkEnd w:id="8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9" Target="media/rId39.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4" Target="media/rId44.png" /><Relationship Type="http://schemas.openxmlformats.org/officeDocument/2006/relationships/hyperlink" Id="rId61" Target="https://github.com/DoriaXiao/anchor-dif" TargetMode="External" /><Relationship Type="http://schemas.openxmlformats.org/officeDocument/2006/relationships/hyperlink" Id="rId27" Target="https://orcid.org/0000-0001-8430-0438" TargetMode="External" /><Relationship Type="http://schemas.openxmlformats.org/officeDocument/2006/relationships/hyperlink" Id="rId28" Target="mailto:xiaoxg@berkeley.edu" TargetMode="External" /></Relationships>
</file>

<file path=word/_rels/footnotes.xml.rels><?xml version="1.0" encoding="UTF-8"?><Relationships xmlns="http://schemas.openxmlformats.org/package/2006/relationships"><Relationship Type="http://schemas.openxmlformats.org/officeDocument/2006/relationships/hyperlink" Id="rId61" Target="https://github.com/DoriaXiao/anchor-dif" TargetMode="External" /><Relationship Type="http://schemas.openxmlformats.org/officeDocument/2006/relationships/hyperlink" Id="rId27" Target="https://orcid.org/0000-0001-8430-0438" TargetMode="External" /><Relationship Type="http://schemas.openxmlformats.org/officeDocument/2006/relationships/hyperlink" Id="rId28" Target="mailto:xiaoxg@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2026-07-03T02:33:57Z</dcterms:created>
  <dcterms:modified xsi:type="dcterms:W3CDTF">2026-07-03T02:33:57Z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Large Language Model Leaderboards</vt:lpwstr>
  </property>
  <property fmtid="{D5CDD505-2E9C-101B-9397-08002B2CF9AE}" pid="7" name="apatitledisplay">
    <vt:lpwstr>Contamination Inflates Scores but Rarely Reorders Large Language Model Leaderboards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3407</vt:lpwstr>
  </property>
  <property fmtid="{D5CDD505-2E9C-101B-9397-08002B2CF9AE}" pid="63" name="zerocitations">
    <vt:lpwstr>False</vt:lpwstr>
  </property>
</Properties>
</file>