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3"/>
        <w:jc w:val="center"/>
        <w:spacing w:before="1800" w:after="380" w:line="360" w:lineRule="auto"/>
      </w:pPr>
      <w:r>
        <w:rPr>
          <w:rFonts w:ascii="SimSun" w:hAnsi="SimSun" w:eastAsia="SimSun"/>
          <w:sz w:val="56"/>
          <w:szCs w:val="56"/>
          <w:color w:val="22201E"/>
           w:b="1"
        </w:rPr>
        <w:t xml:space="preserve">6G / RESCUE</w:t>
      </w:r>
    </w:p>
    <w:p>
      <w:pPr>
        <w:pStyle w:val="13"/>
        <w:jc w:val="center"/>
        <w:spacing w:before="0" w:after="240" w:line="360" w:lineRule="auto"/>
      </w:pPr>
      <w:r>
        <w:rPr>
          <w:rFonts w:ascii="SimSun" w:hAnsi="SimSun" w:eastAsia="SimSun"/>
          <w:sz w:val="34"/>
          <w:szCs w:val="34"/>
          <w:color w:val="22201E"/>
           w:b="1"
        </w:rPr>
        <w:t xml:space="preserve">面向6G的低空应急网络智能自愈平台</w:t>
      </w:r>
    </w:p>
    <w:p>
      <w:pPr>
        <w:pStyle w:val="10"/>
        <w:jc w:val="center"/>
        <w:spacing w:before="0" w:after="900" w:line="360" w:lineRule="auto"/>
      </w:pPr>
      <w:r>
        <w:rPr>
          <w:rFonts w:ascii="SimSun" w:hAnsi="SimSun" w:eastAsia="SimSun"/>
          <w:sz w:val="28"/>
          <w:szCs w:val="28"/>
          <w:color w:val="22201E"/>
           w:b="1"
        </w:rPr>
        <w:t xml:space="preserve">场景设计作品方案</w:t>
      </w:r>
    </w:p>
    <w:p>
      <w:pPr>
        <w:pStyle w:val="1"/>
        <w:jc w:val="center"/>
        <w:spacing w:before="0" w:after="260" w:line="360" w:lineRule="auto"/>
      </w:pPr>
      <w:r>
        <w:rPr>
          <w:rFonts w:ascii="SimSun" w:hAnsi="SimSun" w:eastAsia="SimSun"/>
          <w:sz w:val="24"/>
          <w:szCs w:val="24"/>
          <w:color w:val="22201E"/>
        </w:rPr>
        <w:t xml:space="preserve">参赛组别：学生组</w:t>
      </w:r>
    </w:p>
    <w:p>
      <w:pPr>
        <w:pStyle w:val="1"/>
        <w:jc w:val="center"/>
        <w:spacing w:before="0" w:after="260" w:line="360" w:lineRule="auto"/>
      </w:pPr>
      <w:r>
        <w:rPr>
          <w:rFonts w:ascii="SimSun" w:hAnsi="SimSun" w:eastAsia="SimSun"/>
          <w:sz w:val="24"/>
          <w:szCs w:val="24"/>
          <w:color w:val="22201E"/>
        </w:rPr>
        <w:t xml:space="preserve">赛道：场景设计</w:t>
      </w:r>
    </w:p>
    <w:p>
      <w:pPr>
        <w:pStyle w:val="1"/>
        <w:jc w:val="center"/>
        <w:spacing w:before="0" w:after="24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队伍名称：PENDING_MANUAL_CONFIRMATION</w:t>
      </w:r>
    </w:p>
    <w:p>
      <w:pPr>
        <w:pStyle w:val="1"/>
        <w:jc w:val="center"/>
        <w:spacing w:before="0" w:after="240" w:line="360" w:lineRule="auto"/>
      </w:pPr>
      <w:r>
        <w:rPr>
          <w:rFonts w:ascii="SimSun" w:hAnsi="SimSun" w:eastAsia="SimSun"/>
          <w:sz w:val="20"/>
          <w:szCs w:val="20"/>
          <w:color w:val="22201E"/>
        </w:rPr>
        <w:t xml:space="preserve">学校 / 队长 / 成员 / 指导教师：PENDING_MANUAL_CONFIRMATION</w:t>
      </w:r>
    </w:p>
    <w:p>
      <w:pPr>
        <w:pStyle w:val="1"/>
        <w:jc w:val="center"/>
        <w:spacing w:before="0" w:after="1000" w:line="360" w:lineRule="auto"/>
      </w:pPr>
      <w:r>
        <w:rPr>
          <w:rFonts w:ascii="SimSun" w:hAnsi="SimSun" w:eastAsia="SimSun"/>
          <w:sz w:val="20"/>
          <w:szCs w:val="20"/>
          <w:color w:val="22201E"/>
        </w:rPr>
        <w:t xml:space="preserve">日期：PENDING_MANUAL_CONFIRMATION</w:t>
      </w:r>
    </w:p>
    <w:p>
      <w:r>
        <w:br w:type="page"/>
      </w:r>
    </w:p>
    <w:p>
      <w:pPr>
        <w:pStyle w:val="2"/>
        <w:spacing w:before="120" w:after="240" w:line="360" w:lineRule="auto"/>
      </w:pPr>
      <w:r>
        <w:rPr>
          <w:rFonts w:ascii="SimSun" w:hAnsi="SimSun" w:eastAsia="SimSun"/>
          <w:sz w:val="28"/>
          <w:szCs w:val="28"/>
          <w:color w:val="22201E"/>
           w:b="1"
        </w:rPr>
        <w:t xml:space="preserve">项目概述</w:t>
      </w:r>
    </w:p>
    <w:p>
      <w:pPr>
        <w:pStyle w:val="1"/>
        <w:spacing w:before="0" w:after="36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本项目面向地震、洪涝等灾害导致基站失效、回传受限和救援业务突增时的临时通信保障需求，构建低空无人机中继网络抽象仿真与自愈策略评估平台。系统统一描述基站状态、回传链路、普通与救援用户、无人机位置、容量、飞行速度和电量；通过离散事件模拟灾害与用户移动，并由公共执行层检查通信、共享资源和安全约束。平台比较静态网格、滚动时域、救援优先、事件触发及多无人机基线，均为规则或确定性优化，不是训练型机器学习。实验覆盖持续故障、动态故障、高移动和高负载场景，使用固定随机种子及配对对照，保存逐次结果，统计救援服务率、完整/持续恢复、条件时延、能耗和计算成本，保留未恢复样本。FastAPI 提供实验与回放接口，React 展示节点、用户连接和决策时间线。Phase 15 使用公开 3.6 GHz 空地测量数据进行留出误差研究，未校准项目设备；Phase 17 仅完成软件闭环，无实物 HIL。该成果是面向灾后调度的研究原型，与 IMT-2030 研究方向相关，不代表真实 6G 测试、现场救援成效或标准符合性认证。</w:t>
      </w:r>
    </w:p>
    <w:p>
      <w:pPr>
        <w:pStyle w:val="2"/>
        <w:spacing w:before="180" w:after="180" w:line="360" w:lineRule="auto"/>
      </w:pPr>
      <w:r>
        <w:rPr>
          <w:rFonts w:ascii="SimSun" w:hAnsi="SimSun" w:eastAsia="SimSun"/>
          <w:sz w:val="28"/>
          <w:szCs w:val="28"/>
          <w:color w:val="22201E"/>
           w:b="1"
        </w:rPr>
        <w:t xml:space="preserve">项目背景</w:t>
      </w:r>
    </w:p>
    <w:p>
      <w:pPr>
        <w:pStyle w:val="1"/>
        <w:spacing w:before="0" w:after="16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灾害发生后，地面通信可能因基站供电、站址或回传链路损坏而中断。救援队伍需要在有限时间内传递指挥、定位和状态信息，但低空中继只有在接入、容量、回传、飞行和电量同时可行时才能形成端到端服务。</w:t>
      </w:r>
    </w:p>
    <w:p>
      <w:pPr>
        <w:pStyle w:val="1"/>
        <w:spacing w:before="0" w:after="16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本项目把“覆盖变化”“单用户接入”与“救援用户完整恢复”分开衡量，重点分析不同调度机制在持续故障、运行中故障、用户移动和高负载条件下的收益与失败边界。</w:t>
      </w:r>
    </w:p>
    <w:p>
      <w:pPr>
        <w:pStyle w:val="2"/>
        <w:spacing w:before="180" w:after="180" w:line="360" w:lineRule="auto"/>
      </w:pPr>
      <w:r>
        <w:rPr>
          <w:rFonts w:ascii="SimSun" w:hAnsi="SimSun" w:eastAsia="SimSun"/>
          <w:sz w:val="28"/>
          <w:szCs w:val="28"/>
          <w:color w:val="22201E"/>
           w:b="1"
        </w:rPr>
        <w:t xml:space="preserve">场景需求与设计目标</w:t>
      </w:r>
    </w:p>
    <w:p>
      <w:pPr>
        <w:pStyle w:val="1"/>
        <w:spacing w:before="0" w:after="16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目标场景为灾后城市低空应急通信。参与对象包括受损地面基站、健康回传站点、普通用户、救援用户和可调度无人机。系统逐步推进仿真时间，应用已知的当前故障和业务事件，不允许策略读取未来事件安排。</w:t>
      </w:r>
    </w:p>
    <w:p>
      <w:pPr>
        <w:pStyle w:val="1"/>
        <w:spacing w:before="0" w:after="16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设计目标：第一，救援服务优先并保持端到端可行性；第二，满足基站/无人机共享容量和用户唯一分配；第三，约束移动速度、城市边界、续航和返航储备；第四，以固定种子、配置哈希、轨迹哈希和原始 JSON 支持复现；第五，将无法恢复、条件时延和计算成本完整记录。</w:t>
      </w:r>
    </w:p>
    <w:p>
      <w:pPr>
        <w:pStyle w:val="2"/>
        <w:spacing w:before="180" w:after="180" w:line="360" w:lineRule="auto"/>
      </w:pPr>
      <w:r>
        <w:rPr>
          <w:rFonts w:ascii="SimSun" w:hAnsi="SimSun" w:eastAsia="SimSun"/>
          <w:sz w:val="28"/>
          <w:szCs w:val="28"/>
          <w:color w:val="22201E"/>
           w:b="1"
        </w:rPr>
        <w:t xml:space="preserve">系统方案与技术架构</w:t>
      </w:r>
    </w:p>
    <w:p>
      <w:pPr>
        <w:pStyle w:val="1"/>
        <w:spacing w:before="0" w:after="16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场景配置层定义基站、用户、业务需求、故障与移动事件。网络模型层维护链路状态、距离/链路预算、回传容量和时延。调度层包含静态网格、滚动时域、救援优先、事件触发及多无人机基线。公共执行层检查动作约束并产生真实仿真帧。实验层按种子保存逐次结果并进行配对统计。FastAPI 提供只读实验和回放接口；React 数字孪生页面展示节点、故障、决策和指标。</w:t>
      </w:r>
    </w:p>
    <w:p>
      <w:pPr>
        <w:pStyle w:val="1"/>
        <w:spacing w:before="0" w:after="16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核心源码位于 src/lowalt6g/，实验参数位于 configs/，记录位于 results/，前端位于 frontend/。现场展示使用预先计算的离散回放，不把动画插值解释为仿真结果。</w:t>
      </w:r>
    </w:p>
    <w:p>
      <w:pPr>
        <w:pStyle w:val="2"/>
        <w:spacing w:before="180" w:after="180" w:line="360" w:lineRule="auto"/>
      </w:pPr>
      <w:r>
        <w:rPr>
          <w:rFonts w:ascii="SimSun" w:hAnsi="SimSun" w:eastAsia="SimSun"/>
          <w:sz w:val="28"/>
          <w:szCs w:val="28"/>
          <w:color w:val="22201E"/>
           w:b="1"
        </w:rPr>
        <w:t xml:space="preserve">算法与关键技术</w:t>
      </w:r>
    </w:p>
    <w:p>
      <w:pPr>
        <w:pStyle w:val="1"/>
        <w:spacing w:before="0" w:after="16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A 为无恢复动作对照；B/B′为一次性静态网格基线；C 为滚动时域加权优化；D 为救援优先词典序优化；E 为关键状态变化触发重规划；F 为多机独立贪心；G 为集中式候选联合搜索；H 为边际救援覆盖贪心；I 为用户与中继资源分配匹配；J 为受限预算联合搜索。各策略共用执行安全约束，不把无人机数量增加的收益全部归因于协同算法。</w:t>
      </w:r>
    </w:p>
    <w:p>
      <w:pPr>
        <w:pStyle w:val="1"/>
        <w:spacing w:before="0" w:after="16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上述算法均为规则或确定性优化实现，项目没有声明训练型机器学习模型。若无健康回传或没有满足容量、距离和电量约束的路径，系统报告不可行，不伪造恢复。</w:t>
      </w:r>
    </w:p>
    <w:p>
      <w:pPr>
        <w:pStyle w:val="2"/>
        <w:spacing w:before="180" w:after="180" w:line="360" w:lineRule="auto"/>
      </w:pPr>
      <w:r>
        <w:rPr>
          <w:rFonts w:ascii="SimSun" w:hAnsi="SimSun" w:eastAsia="SimSun"/>
          <w:sz w:val="28"/>
          <w:szCs w:val="28"/>
          <w:color w:val="22201E"/>
           w:b="1"
        </w:rPr>
        <w:t xml:space="preserve">实验设计与结果</w:t>
      </w:r>
    </w:p>
    <w:p>
      <w:pPr>
        <w:pStyle w:val="1"/>
        <w:spacing w:before="0" w:after="16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Phase 5–11 使用严重持续故障、动态故障、高移动救援、高负载/回传受限四类场景，采用配对随机种子并保留逐次数据。Phase 10 确认集包含 80 个场景种子和 400 次策略运行；严重故障下单机 B′救援服务率为 58.66%，G2 为 66.58%，G3 为 66.89%。高负载场景 F3 为 49.99%，G3 为 47.40%，表明算法和机队规模效果依场景而变。</w:t>
      </w:r>
    </w:p>
    <w:p>
      <w:pPr>
        <w:pStyle w:val="1"/>
        <w:spacing w:before="0" w:after="16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Phase 9 动态故障中 E 的服务率为 13.15%，B′为 20.19%；持续 30 秒恢复为 0/20 与 12/20。Phase 14 链路预算下动态 B′服务率从距离阈值模型的 19.70%降至 7.50%。这些负结果用于界定模型与算法边界。</w:t>
      </w:r>
    </w:p>
    <w:p>
      <w:pPr>
        <w:pStyle w:val="1"/>
        <w:spacing w:before="0" w:after="16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统计保留未恢复运行；完整恢复以同一采样时刻所有救援用户连接为判据；时延仅对成功连接样本计算，各策略样本集合可能不同。恢复时间、时延、能耗和算法计算耗时采用不同口径并分别报告。</w:t>
      </w:r>
    </w:p>
    <w:p>
      <w:pPr>
        <w:pStyle w:val="2"/>
        <w:spacing w:before="180" w:after="180" w:line="360" w:lineRule="auto"/>
      </w:pPr>
      <w:r>
        <w:rPr>
          <w:rFonts w:ascii="SimSun" w:hAnsi="SimSun" w:eastAsia="SimSun"/>
          <w:sz w:val="28"/>
          <w:szCs w:val="28"/>
          <w:color w:val="22201E"/>
           w:b="1"
        </w:rPr>
        <w:t xml:space="preserve">技术落地与可复现性</w:t>
      </w:r>
    </w:p>
    <w:p>
      <w:pPr>
        <w:pStyle w:val="1"/>
        <w:spacing w:before="0" w:after="16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平台可在 Windows 11 本机运行，启动脚本检查运行依赖、启动 API 和前端并进行健康检查。当前回放 API 是只读查询，不下发硬件命令。独立发布候选包含源码、配置、锁文件、预计算回放、汇总、文档和 SHA-256 清单。</w:t>
      </w:r>
    </w:p>
    <w:p>
      <w:pPr>
        <w:pStyle w:val="1"/>
        <w:spacing w:before="0" w:after="16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本轮 Python 全量测试 193 项通过；前端组件 17 项通过；Playwright E2E 30 项通过；18 个路由/视口页面检查均 HTTP 200 且无水平溢出。离线断网、第二台设备及现场网络尚未实测，不能据此承诺现场离线运行。</w:t>
      </w:r>
    </w:p>
    <w:p>
      <w:pPr>
        <w:pStyle w:val="2"/>
        <w:spacing w:before="180" w:after="180" w:line="360" w:lineRule="auto"/>
      </w:pPr>
      <w:r>
        <w:rPr>
          <w:rFonts w:ascii="SimSun" w:hAnsi="SimSun" w:eastAsia="SimSun"/>
          <w:sz w:val="28"/>
          <w:szCs w:val="28"/>
          <w:color w:val="22201E"/>
           w:b="1"
        </w:rPr>
        <w:t xml:space="preserve">应用价值与推广边界</w:t>
      </w:r>
    </w:p>
    <w:p>
      <w:pPr>
        <w:pStyle w:val="1"/>
        <w:spacing w:before="0" w:after="16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工程价值在于为应急通信方案提供可重复的策略压力测试、回传可行性检查和失败解释，帮助确定何种灾害条件需要更多中继资源以及何时简单规则更可靠。推广前应以目标设备测量校准链路/能耗，并开展授权的硬件在环和现场验证。</w:t>
      </w:r>
    </w:p>
    <w:p>
      <w:pPr>
        <w:pStyle w:val="1"/>
        <w:spacing w:before="0" w:after="16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Phase 15 对公开 3.6 GHz A2G 数据的 570 条水面留出记录得到候选 MAE 1.8195 dB，优于未拟合基线 7.1864 dB；数据环境与目标设备不同，不能称为项目设备校准。Phase 17 的软件闭环不是实物 HIL。</w:t>
      </w:r>
    </w:p>
    <w:p>
      <w:pPr>
        <w:pStyle w:val="2"/>
        <w:spacing w:before="180" w:after="180" w:line="360" w:lineRule="auto"/>
      </w:pPr>
      <w:r>
        <w:rPr>
          <w:rFonts w:ascii="SimSun" w:hAnsi="SimSun" w:eastAsia="SimSun"/>
          <w:sz w:val="28"/>
          <w:szCs w:val="28"/>
          <w:color w:val="22201E"/>
           w:b="1"
        </w:rPr>
        <w:t xml:space="preserve">局限与安全说明</w:t>
      </w:r>
    </w:p>
    <w:p>
      <w:pPr>
        <w:pStyle w:val="1"/>
        <w:spacing w:before="0" w:after="16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模型未包含城市建筑级遮挡、真实频谱干扰和完整协议栈；无人机功耗系数未由本项目设备实测。没有真实 6G 基站、射频发射、飞行、目标设备校准或外场测量。数字孪生是仿真状态可视化，不是与物理网络同步的实时孪生。</w:t>
      </w:r>
    </w:p>
    <w:p>
      <w:pPr>
        <w:pStyle w:val="1"/>
        <w:spacing w:before="0" w:after="16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项目主题与 IMT-2030 的网络韧性、AI 与通信、数字孪生等研究方向相关，但不代表 ITU-R/3GPP 标准符合性。Phase 7 历史材料缺失，当前标记为不可评估。</w:t>
      </w:r>
    </w:p>
    <w:p>
      <w:pPr>
        <w:pStyle w:val="2"/>
        <w:spacing w:before="180" w:after="180" w:line="360" w:lineRule="auto"/>
      </w:pPr>
      <w:r>
        <w:rPr>
          <w:rFonts w:ascii="SimSun" w:hAnsi="SimSun" w:eastAsia="SimSun"/>
          <w:sz w:val="28"/>
          <w:szCs w:val="28"/>
          <w:color w:val="22201E"/>
           w:b="1"
        </w:rPr>
        <w:t xml:space="preserve">知识产权与人工智能辅助披露</w:t>
      </w:r>
    </w:p>
    <w:p>
      <w:pPr>
        <w:pStyle w:val="1"/>
        <w:spacing w:before="0" w:after="16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公开数据、图像和依赖的来源与许可见 DATA_PROVENANCE.md、SOURCE_PROVENANCE.md 与 assets/credits.json。仓库未发现根许可证；源码权属、许可选择及第三方资源再分发范围须由团队/权利人确认。</w:t>
      </w:r>
    </w:p>
    <w:p>
      <w:pPr>
        <w:pStyle w:val="1"/>
        <w:spacing w:before="0" w:after="16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本项目材料经 AI 辅助整理或生成。参赛团队需按官方要求逐项核验代码、实验和文字，补充真实团队信息并提交最终真实性/原创声明。</w:t>
      </w:r>
    </w:p>
    <w:p>
      <w:pPr>
        <w:pStyle w:val="2"/>
        <w:spacing w:before="180" w:after="180" w:line="360" w:lineRule="auto"/>
      </w:pPr>
      <w:r>
        <w:rPr>
          <w:rFonts w:ascii="SimSun" w:hAnsi="SimSun" w:eastAsia="SimSun"/>
          <w:sz w:val="28"/>
          <w:szCs w:val="28"/>
          <w:color w:val="22201E"/>
           w:b="1"
        </w:rPr>
        <w:t xml:space="preserve">团队与附件</w:t>
      </w:r>
    </w:p>
    <w:p>
      <w:pPr>
        <w:pStyle w:val="1"/>
        <w:spacing w:before="0" w:after="16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队伍名称：PENDING_MANUAL_CONFIRMATION</w:t>
      </w:r>
    </w:p>
    <w:p>
      <w:pPr>
        <w:pStyle w:val="1"/>
        <w:spacing w:before="0" w:after="16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队长、队员、学校、指导教师：PENDING_MANUAL_CONFIRMATION</w:t>
      </w:r>
    </w:p>
    <w:p>
      <w:pPr>
        <w:pStyle w:val="1"/>
        <w:spacing w:before="0" w:after="160" w:line="360" w:lineRule="auto"/>
      </w:pPr>
      <w:r>
        <w:rPr>
          <w:rFonts w:ascii="SimSun" w:hAnsi="SimSun" w:eastAsia="SimSun"/>
          <w:sz w:val="22"/>
          <w:szCs w:val="22"/>
          <w:color w:val="22201E"/>
        </w:rPr>
        <w:t xml:space="preserve">附件：系统截图、实验结果图、可复现命令、审计与数据来源材料。</w:t>
      </w:r>
    </w:p>
    <w:sectPr>
      <w:pgSz w:w="11906" w:h="16838"/>
      <w:pgMar w:top="1417" w:right="1701" w:bottom="1417" w:left="1701" w:header="850" w:footer="85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type="lines" w:linePitch="333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13CF7">
    <w:pPr>
      <w:tabs>
        <w:tab w:val="center" w:pos="4153"/>
        <w:tab w:val="right" w:pos="8306"/>
      </w:tabs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D14FC">
    <w:pPr>
      <w:tabs>
        <w:tab w:val="center" w:pos="4153"/>
        <w:tab w:val="right" w:pos="8306"/>
      </w:tabs>
      <w:rPr>
        <w:color w:val="0000FF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B9FBF">
    <w:pPr>
      <w:tabs>
        <w:tab w:val="center" w:pos="4153"/>
        <w:tab w:val="right" w:pos="8306"/>
      </w:tabs>
      <w:jc w:val="center"/>
      <w:rPr>
        <w:rFonts w:hint="eastAsia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72240">
    <w:pPr>
      <w:tabs>
        <w:tab w:val="center" w:pos="4153"/>
        <w:tab w:val="right" w:pos="8306"/>
      </w:tabs>
      <w:jc w:val="center"/>
      <w:rPr>
        <w:rFonts w:hint="eastAsia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A8AC3">
    <w:pPr>
      <w:keepNext w:val="0"/>
      <w:keepLines w:val="0"/>
      <w:pageBreakBefore w:val="0"/>
      <w:widowControl w:val="0"/>
      <w:pBdr>
        <w:bottom w:val="none" w:color="auto" w:sz="0" w:space="0"/>
      </w:pBdr>
      <w:tabs>
        <w:tab w:val="center" w:pos="4153"/>
        <w:tab w:val="right" w:pos="8306"/>
      </w:tabs>
      <w:kinsoku/>
      <w:wordWrap/>
      <w:overflowPunct/>
      <w:topLinePunct w:val="0"/>
      <w:bidi w:val="0"/>
      <w:adjustRightInd/>
      <w:snapToGrid/>
      <w:spacing w:line="240" w:lineRule="auto"/>
      <w:ind w:firstLine="0" w:firstLineChars="0"/>
      <w:jc w:val="right"/>
      <w:textAlignment w:val="auto"/>
      <w:rPr>
        <w:rFonts w:hint="default"/>
        <w:lang w:val="en-US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1645920" cy="338455"/>
          <wp:effectExtent l="0" t="0" r="0" b="12065"/>
          <wp:docPr id="1" name="图片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33845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B821F">
    <w:pPr>
      <w:tabs>
        <w:tab w:val="center" w:pos="4153"/>
        <w:tab w:val="right" w:pos="8306"/>
      </w:tabs>
      <w:wordWrap/>
      <w:spacing w:line="240" w:lineRule="auto"/>
      <w:ind w:left="0" w:leftChars="0" w:firstLine="0" w:firstLineChars="0"/>
      <w:jc w:val="left"/>
    </w:pPr>
    <w:r>
      <w:rPr>
        <w:rFonts w:hint="eastAsia"/>
        <w:lang w:val="en-US" w:eastAsia="zh-CN"/>
      </w:rPr>
      <w:drawing>
        <wp:inline distT="0" distB="0" distL="114300" distR="114300">
          <wp:extent cx="401955" cy="190500"/>
          <wp:effectExtent l="0" t="0" r="4445" b="0"/>
          <wp:docPr id="13" name="图片 289" descr="AIC方形logo@16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289" descr="AIC方形logo@16x"/>
                  <pic:cNvPicPr>
                    <a:picLocks noChangeAspect="1"/>
                  </pic:cNvPicPr>
                </pic:nvPicPr>
                <pic:blipFill>
                  <a:blip r:embed="rId1"/>
                  <a:srcRect b="26582"/>
                  <a:stretch>
                    <a:fillRect/>
                  </a:stretch>
                </pic:blipFill>
                <pic:spPr>
                  <a:xfrm>
                    <a:off x="0" y="0"/>
                    <a:ext cx="401955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2026第八届全球校园人工智能算法精英大赛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0"/>
  <w:bordersDoNotSurroundFooter w:val="0"/>
  <w:documentProtection w:enforcement="0"/>
  <w:defaultTabStop w:val="840"/>
  <w:hyphenationZone w:val="360"/>
  <w:drawingGridHorizontalSpacing w:val="240"/>
  <w:drawingGridVerticalSpacing w:val="16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228B"/>
    <w:rsid w:val="000463B1"/>
    <w:rsid w:val="000C5039"/>
    <w:rsid w:val="00141DF5"/>
    <w:rsid w:val="00164C7F"/>
    <w:rsid w:val="001976CF"/>
    <w:rsid w:val="001E5AAF"/>
    <w:rsid w:val="0024228B"/>
    <w:rsid w:val="002B0B47"/>
    <w:rsid w:val="00301D53"/>
    <w:rsid w:val="00357554"/>
    <w:rsid w:val="0037059B"/>
    <w:rsid w:val="00403E7F"/>
    <w:rsid w:val="00487CBF"/>
    <w:rsid w:val="0051368C"/>
    <w:rsid w:val="00513D4C"/>
    <w:rsid w:val="005507FF"/>
    <w:rsid w:val="005A006A"/>
    <w:rsid w:val="005C401C"/>
    <w:rsid w:val="00663212"/>
    <w:rsid w:val="006633FC"/>
    <w:rsid w:val="006755D8"/>
    <w:rsid w:val="00677A7D"/>
    <w:rsid w:val="00747DCB"/>
    <w:rsid w:val="00750933"/>
    <w:rsid w:val="00761F90"/>
    <w:rsid w:val="007963C9"/>
    <w:rsid w:val="007D759D"/>
    <w:rsid w:val="00825A26"/>
    <w:rsid w:val="0083435C"/>
    <w:rsid w:val="00852946"/>
    <w:rsid w:val="008D4207"/>
    <w:rsid w:val="00901E32"/>
    <w:rsid w:val="00914A37"/>
    <w:rsid w:val="00956643"/>
    <w:rsid w:val="00977387"/>
    <w:rsid w:val="009A71F7"/>
    <w:rsid w:val="009E29C7"/>
    <w:rsid w:val="00A165AC"/>
    <w:rsid w:val="00A315E5"/>
    <w:rsid w:val="00A653CA"/>
    <w:rsid w:val="00A87C2D"/>
    <w:rsid w:val="00B43E77"/>
    <w:rsid w:val="00B65B0C"/>
    <w:rsid w:val="00BB37DD"/>
    <w:rsid w:val="00BD1120"/>
    <w:rsid w:val="00CA2171"/>
    <w:rsid w:val="00CC1AA3"/>
    <w:rsid w:val="00D36E57"/>
    <w:rsid w:val="00D96FA1"/>
    <w:rsid w:val="00DF4714"/>
    <w:rsid w:val="00E42131"/>
    <w:rsid w:val="00E432EA"/>
    <w:rsid w:val="00E76B60"/>
    <w:rsid w:val="00E96CE8"/>
    <w:rsid w:val="00EB27F2"/>
    <w:rsid w:val="00F05181"/>
    <w:rsid w:val="00F13ED5"/>
    <w:rsid w:val="00F3236C"/>
    <w:rsid w:val="00F347BD"/>
    <w:rsid w:val="00F52BBF"/>
    <w:rsid w:val="00FB2BD1"/>
    <w:rsid w:val="00FE154E"/>
    <w:rsid w:val="0221260B"/>
    <w:rsid w:val="023B0C2D"/>
    <w:rsid w:val="03C74374"/>
    <w:rsid w:val="066F3645"/>
    <w:rsid w:val="0870581B"/>
    <w:rsid w:val="08CC5F7D"/>
    <w:rsid w:val="0A8551CF"/>
    <w:rsid w:val="12955E7E"/>
    <w:rsid w:val="134E1905"/>
    <w:rsid w:val="13CA3F81"/>
    <w:rsid w:val="14DD3B69"/>
    <w:rsid w:val="1B291859"/>
    <w:rsid w:val="1BAD3947"/>
    <w:rsid w:val="1C20323A"/>
    <w:rsid w:val="1DF44BF3"/>
    <w:rsid w:val="1F1E6B1C"/>
    <w:rsid w:val="266201D6"/>
    <w:rsid w:val="26F15B91"/>
    <w:rsid w:val="294F7E9F"/>
    <w:rsid w:val="29F36C5E"/>
    <w:rsid w:val="2D8828F9"/>
    <w:rsid w:val="311B7830"/>
    <w:rsid w:val="31786C7B"/>
    <w:rsid w:val="34421F20"/>
    <w:rsid w:val="353739F2"/>
    <w:rsid w:val="3652641D"/>
    <w:rsid w:val="38A81BB8"/>
    <w:rsid w:val="3C062FB8"/>
    <w:rsid w:val="3E3F7C73"/>
    <w:rsid w:val="46107152"/>
    <w:rsid w:val="475278BE"/>
    <w:rsid w:val="4A631F37"/>
    <w:rsid w:val="4D10183F"/>
    <w:rsid w:val="50BE636B"/>
    <w:rsid w:val="534D0334"/>
    <w:rsid w:val="53755FB2"/>
    <w:rsid w:val="5723151E"/>
    <w:rsid w:val="5BEF1FE7"/>
    <w:rsid w:val="71936834"/>
    <w:rsid w:val="732A50AC"/>
    <w:rsid w:val="73846530"/>
    <w:rsid w:val="74DF584C"/>
    <w:rsid w:val="758E6242"/>
    <w:rsid w:val="79353E80"/>
    <w:rsid w:val="798F6B00"/>
    <w:rsid w:val="7CC42DCE"/>
    <w:rsid w:val="7F1A03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0" w:firstLineChars="200"/>
      <w:jc w:val="lef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0" w:beforeLines="0" w:beforeAutospacing="0" w:after="10" w:afterLines="0" w:afterAutospacing="0" w:line="240" w:lineRule="auto"/>
      <w:ind w:firstLine="880" w:firstLineChars="200"/>
      <w:outlineLvl w:val="0"/>
    </w:pPr>
    <w:rPr>
      <w:rFonts w:eastAsia="宋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/>
      <w:b/>
      <w:sz w:val="28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Lines="0" w:beforeAutospacing="0" w:afterLines="0" w:afterAutospacing="0" w:line="240" w:lineRule="auto"/>
      <w:ind w:firstLine="880" w:firstLineChars="200"/>
      <w:outlineLvl w:val="2"/>
    </w:pPr>
    <w:rPr>
      <w:b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Lines="0" w:beforeAutospacing="0" w:afterLines="0" w:afterAutospacing="0" w:line="360" w:lineRule="auto"/>
      <w:ind w:firstLine="0" w:firstLineChars="0"/>
      <w:outlineLvl w:val="3"/>
    </w:pPr>
    <w:rPr>
      <w:rFonts w:ascii="Arial" w:hAnsi="Arial" w:eastAsia="宋体"/>
      <w:sz w:val="21"/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toc 1"/>
    <w:basedOn w:val="1"/>
    <w:next w:val="1"/>
    <w:qFormat/>
    <w:uiPriority w:val="39"/>
    <w:pPr>
      <w:tabs>
        <w:tab w:val="right" w:leader="dot" w:pos="8296"/>
      </w:tabs>
      <w:spacing w:line="360" w:lineRule="auto"/>
      <w:ind w:firstLine="0" w:firstLineChars="0"/>
    </w:pPr>
    <w:rPr>
      <w:rFonts w:eastAsia="黑体" w:cs="Times New Roman"/>
    </w:rPr>
  </w:style>
  <w:style w:type="paragraph" w:styleId="10">
    <w:name w:val="Subtitle"/>
    <w:basedOn w:val="1"/>
    <w:next w:val="1"/>
    <w:link w:val="19"/>
    <w:qFormat/>
    <w:uiPriority w:val="11"/>
    <w:pPr>
      <w:spacing w:before="240" w:after="60" w:line="312" w:lineRule="auto"/>
      <w:jc w:val="center"/>
      <w:outlineLvl w:val="1"/>
    </w:pPr>
    <w:rPr>
      <w:rFonts w:ascii="等线 Light" w:hAnsi="等线 Light" w:cs="Times New Roman"/>
      <w:b/>
      <w:bCs/>
      <w:kern w:val="28"/>
      <w:sz w:val="32"/>
      <w:szCs w:val="32"/>
    </w:rPr>
  </w:style>
  <w:style w:type="paragraph" w:styleId="11">
    <w:name w:val="toc 2"/>
    <w:basedOn w:val="1"/>
    <w:next w:val="1"/>
    <w:unhideWhenUsed/>
    <w:qFormat/>
    <w:uiPriority w:val="39"/>
    <w:pPr>
      <w:tabs>
        <w:tab w:val="right" w:leader="dot" w:pos="7927"/>
      </w:tabs>
      <w:ind w:left="0" w:leftChars="0" w:firstLine="880" w:firstLineChars="200"/>
      <w:jc w:val="right"/>
    </w:pPr>
    <w:rPr>
      <w:rFonts w:eastAsia="宋体"/>
    </w:rPr>
  </w:style>
  <w:style w:type="paragraph" w:styleId="12">
    <w:name w:val="Normal (Web)"/>
    <w:basedOn w:val="1"/>
    <w:unhideWhenUsed/>
    <w:qFormat/>
    <w:uiPriority w:val="99"/>
    <w:pPr>
      <w:widowControl/>
      <w:spacing w:beforeAutospacing="1" w:afterAutospacing="1"/>
      <w:jc w:val="left"/>
    </w:pPr>
    <w:rPr>
      <w:rFonts w:ascii="宋体" w:hAnsi="宋体" w:eastAsia="宋体" w:cs="Times New Roman"/>
      <w:kern w:val="0"/>
      <w:sz w:val="24"/>
    </w:rPr>
  </w:style>
  <w:style w:type="paragraph" w:styleId="13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="等线 Light" w:hAnsi="等线 Light" w:cs="Times New Roman"/>
      <w:b/>
      <w:bCs/>
      <w:sz w:val="44"/>
      <w:szCs w:val="32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customStyle="1" w:styleId="17">
    <w:name w:val="标题 字符"/>
    <w:link w:val="13"/>
    <w:qFormat/>
    <w:uiPriority w:val="10"/>
    <w:rPr>
      <w:rFonts w:ascii="等线 Light" w:hAnsi="等线 Light" w:eastAsia="宋体" w:cs="Times New Roman"/>
      <w:b/>
      <w:bCs/>
      <w:kern w:val="2"/>
      <w:sz w:val="44"/>
      <w:szCs w:val="32"/>
    </w:rPr>
  </w:style>
  <w:style w:type="character" w:customStyle="1" w:styleId="18">
    <w:name w:val="批注框文本 字符"/>
    <w:link w:val="7"/>
    <w:semiHidden/>
    <w:qFormat/>
    <w:uiPriority w:val="99"/>
    <w:rPr>
      <w:sz w:val="18"/>
      <w:szCs w:val="18"/>
    </w:rPr>
  </w:style>
  <w:style w:type="character" w:customStyle="1" w:styleId="19">
    <w:name w:val="副标题 字符"/>
    <w:link w:val="10"/>
    <w:qFormat/>
    <w:uiPriority w:val="11"/>
    <w:rPr>
      <w:rFonts w:ascii="等线 Light" w:hAnsi="等线 Light" w:cs="Times New Roman"/>
      <w:b/>
      <w:bCs/>
      <w:kern w:val="28"/>
      <w:sz w:val="32"/>
      <w:szCs w:val="32"/>
    </w:rPr>
  </w:style>
  <w:style w:type="character" w:customStyle="1" w:styleId="20">
    <w:name w:val="标题 3 Char"/>
    <w:link w:val="4"/>
    <w:qFormat/>
    <w:uiPriority w:val="9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638</Words>
  <Characters>708</Characters>
  <TotalTime>3</TotalTime>
  <ScaleCrop>false</ScaleCrop>
  <LinksUpToDate>false</LinksUpToDate>
  <CharactersWithSpaces>767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2026-09-25T21:31:00Z</dcterms:created>
  <dc:creator>12604</dc:creator>
  <cp:lastModifiedBy>黄颜</cp:lastModifiedBy>
  <dcterms:modified xsi:type="dcterms:W3CDTF">2026-09-29T02:09:30Z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eyJoZGlkIjoiNzc4ZGQwZjkwZDM0YjQ1YTc0OTg3ZWRhY2E2ODE2ZGUiLCJ1c2VySWQiOiIxNzE3MjcyODE1In0=</vt:lpwstr>
  </property>
  <property fmtid="{D5CDD505-2E9C-101B-9397-08002B2CF9AE}" pid="3" name="KSOProductBuildVer">
    <vt:lpwstr>2052-12.1.0.28505</vt:lpwstr>
  </property>
  <property fmtid="{D5CDD505-2E9C-101B-9397-08002B2CF9AE}" pid="4" name="ICV">
    <vt:lpwstr>498D17FD2E3D43528AA6765666A0C111_12</vt:lpwstr>
  </property>
</Properties>
</file>