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0"/>
      </w:pPr>
      <w:r>
        <w:rPr>
          <w:rFonts w:ascii="Segoe UI" w:hAnsi="Segoe UI"/>
          <w:b/>
          <w:color w:val="1C1815"/>
          <w:sz w:val="60"/>
        </w:rPr>
        <w:t>SICCAM</w:t>
      </w:r>
      <w:r>
        <w:rPr>
          <w:rFonts w:ascii="Segoe UI" w:hAnsi="Segoe UI"/>
          <w:b/>
          <w:color w:val="B8402B"/>
          <w:sz w:val="60"/>
        </w:rPr>
        <w:t xml:space="preserve"> SARL</w:t>
      </w:r>
    </w:p>
    <w:p>
      <w:pPr>
        <w:spacing w:after="720"/>
      </w:pPr>
      <w:r>
        <w:rPr>
          <w:rFonts w:ascii="Consolas" w:hAnsi="Consolas"/>
          <w:b/>
          <w:color w:val="7A6C62"/>
          <w:sz w:val="17"/>
        </w:rPr>
        <w:t>SOCIÉTÉ INDUSTRIELLE ET COMMERCIALE DU CAMEROUN</w:t>
      </w:r>
    </w:p>
    <w:p>
      <w:pPr>
        <w:spacing w:after="80"/>
      </w:pPr>
      <w:r>
        <w:rPr>
          <w:b/>
          <w:color w:val="1C1815"/>
          <w:sz w:val="80"/>
        </w:rPr>
        <w:t>Votre site vitrine</w:t>
      </w:r>
    </w:p>
    <w:p>
      <w:pPr>
        <w:spacing w:after="600"/>
      </w:pPr>
      <w:r>
        <w:rPr>
          <w:color w:val="7A6C62"/>
          <w:sz w:val="28"/>
        </w:rPr>
        <w:t>Ce que le site fait pour votre activité, section par section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8F5F2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EN UN MOT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 site vitrine n’est pas une plaquette en ligne. C’est un commercial qui travaille la nuit, le week-end, et sur le fuseau horaire de Rotterdam comme sur celui de Jebel Ali. Ce document explique, section par section, ce que le vôtre a été conçu pour obtenir.</w:t>
            </w:r>
          </w:p>
        </w:tc>
      </w:tr>
    </w:tbl>
    <w:p/>
    <w:p>
      <w:r>
        <w:br w:type="page"/>
      </w:r>
    </w:p>
    <w:p>
      <w:pPr>
        <w:pStyle w:val="Heading1"/>
      </w:pPr>
      <w:r>
        <w:t>Le site en cinq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567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</w:r>
          </w:p>
        </w:tc>
        <w:tc>
          <w:tcPr>
            <w:tcW w:type="dxa" w:w="8504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Ce que le site fait</w:t>
            </w:r>
          </w:p>
        </w:tc>
      </w:tr>
      <w:tr>
        <w:tc>
          <w:tcPr>
            <w:tcW w:type="dxa" w:w="567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1</w:t>
            </w:r>
          </w:p>
        </w:tc>
        <w:tc>
          <w:tcPr>
            <w:tcW w:type="dxa" w:w="850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Il qualifie vos prospects avant même que vous leur parliez. Le formulaire ne demande pas « votre message » : il demande le produit, le volume, la destination et le pays. Chaque demande arrive exploitable.</w:t>
            </w:r>
          </w:p>
        </w:tc>
      </w:tr>
      <w:tr>
        <w:tc>
          <w:tcPr>
            <w:tcW w:type="dxa" w:w="567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2</w:t>
            </w:r>
          </w:p>
        </w:tc>
        <w:tc>
          <w:tcPr>
            <w:tcW w:type="dxa" w:w="850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Il répond aux questions d’un acheteur professionnel sans qu’il ait à les poser : humidité, grainage, calibre, incoterms, délais de transit, documents fournis.</w:t>
            </w:r>
          </w:p>
        </w:tc>
      </w:tr>
      <w:tr>
        <w:tc>
          <w:tcPr>
            <w:tcW w:type="dxa" w:w="567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3</w:t>
            </w:r>
          </w:p>
        </w:tc>
        <w:tc>
          <w:tcPr>
            <w:tcW w:type="dxa" w:w="850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Il prouve votre méthode au lieu de l’affirmer. Le procédé en six étapes montre le chemin d’un lot de la parcelle au connaissement.</w:t>
            </w:r>
          </w:p>
        </w:tc>
      </w:tr>
      <w:tr>
        <w:tc>
          <w:tcPr>
            <w:tcW w:type="dxa" w:w="567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4</w:t>
            </w:r>
          </w:p>
        </w:tc>
        <w:tc>
          <w:tcPr>
            <w:tcW w:type="dxa" w:w="850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Il porte votre nouvelle identité de marque — logo, couleurs, typographie — de façon cohérente sur chaque écran, du téléphone au grand moniteur.</w:t>
            </w:r>
          </w:p>
        </w:tc>
      </w:tr>
      <w:tr>
        <w:tc>
          <w:tcPr>
            <w:tcW w:type="dxa" w:w="567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5</w:t>
            </w:r>
          </w:p>
        </w:tc>
        <w:tc>
          <w:tcPr>
            <w:tcW w:type="dxa" w:w="850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Il est trouvable, rapide et lisible pour tous : structuré pour les moteurs de recherche, léger sur connexion mobile, utilisable au clavier et par lecteur d’écran.</w:t>
            </w:r>
          </w:p>
        </w:tc>
      </w:tr>
    </w:tbl>
    <w:p/>
    <w:p>
      <w:pPr>
        <w:pStyle w:val="Heading1"/>
      </w:pPr>
      <w:r>
        <w:t>Le parcours d’un acheteur</w:t>
      </w:r>
    </w:p>
    <w:p>
      <w:pPr>
        <w:spacing w:before="0" w:after="140"/>
      </w:pPr>
      <w:r>
        <w:rPr>
          <w:b w:val="0"/>
          <w:i w:val="0"/>
          <w:sz w:val="21"/>
        </w:rPr>
        <w:t>Un directeur des achats d’une chocolaterie européenne cherche une origine camerounaise. Voici ce qu’il vit sur votre site, minute par minute.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020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Temps</w:t>
            </w:r>
          </w:p>
        </w:tc>
        <w:tc>
          <w:tcPr>
            <w:tcW w:type="dxa" w:w="3969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Ce qu’il voit</w:t>
            </w:r>
          </w:p>
        </w:tc>
        <w:tc>
          <w:tcPr>
            <w:tcW w:type="dxa" w:w="4082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Ce qu’il en conclut</w:t>
            </w:r>
          </w:p>
        </w:tc>
      </w:tr>
      <w:tr>
        <w:tc>
          <w:tcPr>
            <w:tcW w:type="dxa" w:w="1020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0–5 s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Une plantation de cacao, votre promesse, deux boutons</w:t>
            </w:r>
          </w:p>
        </w:tc>
        <w:tc>
          <w:tcPr>
            <w:tcW w:type="dxa" w:w="408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« C’est un exportateur, pas un intermédiaire »</w:t>
            </w:r>
          </w:p>
        </w:tc>
      </w:tr>
      <w:tr>
        <w:tc>
          <w:tcPr>
            <w:tcW w:type="dxa" w:w="1020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5–15 s</w:t>
            </w:r>
          </w:p>
        </w:tc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La bande de campagne : départ FOB Douala, lot minimum un conteneur</w:t>
            </w:r>
          </w:p>
        </w:tc>
        <w:tc>
          <w:tcPr>
            <w:tcW w:type="dxa" w:w="4082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« Je suis dans la bonne fourchette de volume »</w:t>
            </w:r>
          </w:p>
        </w:tc>
      </w:tr>
      <w:tr>
        <w:tc>
          <w:tcPr>
            <w:tcW w:type="dxa" w:w="1020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15–40 s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Les quatre filières et leurs spécifications chiffrées</w:t>
            </w:r>
          </w:p>
        </w:tc>
        <w:tc>
          <w:tcPr>
            <w:tcW w:type="dxa" w:w="408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« Leur cacao correspond à mon cahier des charges »</w:t>
            </w:r>
          </w:p>
        </w:tc>
      </w:tr>
      <w:tr>
        <w:tc>
          <w:tcPr>
            <w:tcW w:type="dxa" w:w="1020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40–70 s</w:t>
            </w:r>
          </w:p>
        </w:tc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procédé en six étapes, la documentation annoncée</w:t>
            </w:r>
          </w:p>
        </w:tc>
        <w:tc>
          <w:tcPr>
            <w:tcW w:type="dxa" w:w="4082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« Ils savent ce qu’est un certificat phytosanitaire »</w:t>
            </w:r>
          </w:p>
        </w:tc>
      </w:tr>
      <w:tr>
        <w:tc>
          <w:tcPr>
            <w:tcW w:type="dxa" w:w="1020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70–90 s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Sa zone dans la carte des destinations : ports, transit, incoterms</w:t>
            </w:r>
          </w:p>
        </w:tc>
        <w:tc>
          <w:tcPr>
            <w:tcW w:type="dxa" w:w="408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« Rotterdam, 18 à 24 jours, CIF possible »</w:t>
            </w:r>
          </w:p>
        </w:tc>
      </w:tr>
      <w:tr>
        <w:tc>
          <w:tcPr>
            <w:tcW w:type="dxa" w:w="1020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90 s</w:t>
            </w:r>
          </w:p>
        </w:tc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formulaire, six champs, réponse annoncée sous 24 h</w:t>
            </w:r>
          </w:p>
        </w:tc>
        <w:tc>
          <w:tcPr>
            <w:tcW w:type="dxa" w:w="4082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Il demande un devis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Aucun de ces écrans ne demande à l’acheteur de vous faire confiance sur parole. Chacun lui donne un fait vérifiable. C’est ce qui distingue un site qui vend d’un site qui se contente d’exister.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1C1815"/>
          </w:tcPr>
          <w:p>
            <w:pPr>
              <w:spacing w:before="160" w:after="40"/>
            </w:pPr>
            <w:r/>
            <w:r>
              <w:rPr>
                <w:rFonts w:ascii="Segoe UI" w:hAnsi="Segoe UI"/>
                <w:b/>
                <w:color w:val="FFFFFF"/>
                <w:sz w:val="30"/>
              </w:rPr>
              <w:t>Les fonctionnalités, une par une</w:t>
            </w:r>
          </w:p>
          <w:p>
            <w:pPr>
              <w:spacing w:after="160"/>
            </w:pPr>
            <w:r>
              <w:rPr>
                <w:rFonts w:ascii="Segoe UI" w:hAnsi="Segoe UI"/>
                <w:color w:val="E59B87"/>
                <w:sz w:val="20"/>
              </w:rPr>
              <w:t>Chaque bloc du site répond à une objection ou déclenche une action</w:t>
            </w:r>
          </w:p>
        </w:tc>
      </w:tr>
    </w:tbl>
    <w:p/>
    <w:p>
      <w:pPr>
        <w:pStyle w:val="Heading2"/>
      </w:pPr>
      <w:r>
        <w:t>1. Une demande de devis toujours à portée de clic</w:t>
      </w:r>
    </w:p>
    <w:p>
      <w:pPr>
        <w:spacing w:before="0" w:after="140"/>
      </w:pPr>
      <w:r>
        <w:rPr>
          <w:b w:val="0"/>
          <w:i w:val="0"/>
          <w:sz w:val="21"/>
        </w:rPr>
        <w:t>La barre de navigation flotte au-dessus du contenu et vous suit pendant tout le défilement. Le bouton « Demander un devis » ne quitte jamais l’écran. Sur téléphone, elle se replie en un menu compact qui garde le même bouton.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 visiteur convaincu à la moitié de la page n’a pas à remonter pour agir. Chaque section devient un point de départ possible vers le devis.</w:t>
            </w:r>
          </w:p>
        </w:tc>
      </w:tr>
    </w:tbl>
    <w:p/>
    <w:p>
      <w:pPr>
        <w:pStyle w:val="Heading2"/>
      </w:pPr>
      <w:r>
        <w:t>2. Une ouverture qui dit qui vous êtes en cinq secondes</w:t>
      </w:r>
    </w:p>
    <w:p>
      <w:pPr>
        <w:spacing w:before="0" w:after="140"/>
      </w:pPr>
      <w:r>
        <w:rPr>
          <w:b w:val="0"/>
          <w:i w:val="0"/>
          <w:sz w:val="21"/>
        </w:rPr>
        <w:t>Photographie pleine largeur, promesse en une phrase — « Le meilleur du terroir camerounais, livré dans les délais » — et deux actions : voir les produits, ou demander un devis directement.</w:t>
      </w:r>
    </w:p>
    <w:p>
      <w:pPr>
        <w:spacing w:before="0" w:after="140"/>
      </w:pPr>
      <w:r>
        <w:rPr>
          <w:b w:val="0"/>
          <w:i w:val="0"/>
          <w:sz w:val="21"/>
        </w:rPr>
        <w:t>Sous cette ouverture, une bande de données annonce la campagne en cours, le port de départ et le volume minimum.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 acheteur dont les volumes sont trop faibles le sait immédiatement et ne vous fera pas perdre de temps. Celui qui est dans la cible sait qu’il est au bon endroit.</w:t>
            </w:r>
          </w:p>
        </w:tc>
      </w:tr>
    </w:tbl>
    <w:p/>
    <w:p>
      <w:pPr>
        <w:pStyle w:val="Heading2"/>
      </w:pPr>
      <w:r>
        <w:t>3. Vos chiffres, mis en avant</w:t>
      </w:r>
    </w:p>
    <w:p>
      <w:pPr>
        <w:spacing w:before="0" w:after="140"/>
      </w:pPr>
      <w:r>
        <w:rPr>
          <w:b w:val="0"/>
          <w:i w:val="0"/>
          <w:sz w:val="21"/>
        </w:rPr>
        <w:t>Quatre mesures alignées juste sous l’ouverture : partenaires commerciaux, filières exportées, délai de réponse, volume minimum.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Le délai de réponse annoncé — 24 heures — est un engagement visible. Il transforme une hésitation (« vont-ils me répondre ? ») en attente raisonnable.</w:t>
            </w:r>
          </w:p>
        </w:tc>
      </w:tr>
    </w:tbl>
    <w:p/>
    <w:p>
      <w:pPr>
        <w:pStyle w:val="Heading2"/>
      </w:pPr>
      <w:r>
        <w:t>4. La signature du site : les bandes d’analyse</w:t>
      </w:r>
    </w:p>
    <w:p>
      <w:pPr>
        <w:spacing w:before="0" w:after="140"/>
      </w:pPr>
      <w:r>
        <w:rPr>
          <w:b w:val="0"/>
          <w:i w:val="0"/>
          <w:sz w:val="21"/>
        </w:rPr>
        <w:t>C’est l’élément qui distingue votre site de tous les sites agricoles génériques. Entre les sections, une ligne de données reprend la forme d’un en-tête de certificat d’analyse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F8F5F2"/>
          </w:tcPr>
          <w:p>
            <w:pPr>
              <w:spacing w:after="140" w:before="140"/>
            </w:pPr>
            <w:r/>
            <w:r>
              <w:rPr>
                <w:rFonts w:ascii="Consolas" w:hAnsi="Consolas"/>
                <w:b/>
                <w:color w:val="B8402B"/>
                <w:sz w:val="18"/>
              </w:rPr>
              <w:t>4 FILIÈRES</w:t>
            </w:r>
          </w:p>
        </w:tc>
        <w:tc>
          <w:tcPr>
            <w:tcW w:type="dxa" w:w="3211"/>
            <w:shd w:val="clear" w:color="auto" w:fill="F8F5F2"/>
          </w:tcPr>
          <w:p>
            <w:pPr>
              <w:spacing w:after="140" w:before="140"/>
            </w:pPr>
            <w:r/>
            <w:r>
              <w:rPr>
                <w:rFonts w:ascii="Consolas" w:hAnsi="Consolas"/>
                <w:b w:val="0"/>
                <w:color w:val="7A6C62"/>
                <w:sz w:val="18"/>
              </w:rPr>
              <w:t>CERTIFICAT D’ANALYSE PAR LOT</w:t>
            </w:r>
          </w:p>
        </w:tc>
        <w:tc>
          <w:tcPr>
            <w:tcW w:type="dxa" w:w="3211"/>
            <w:shd w:val="clear" w:color="auto" w:fill="F8F5F2"/>
          </w:tcPr>
          <w:p>
            <w:pPr>
              <w:spacing w:after="140" w:before="140"/>
            </w:pPr>
            <w:r/>
            <w:r>
              <w:rPr>
                <w:rFonts w:ascii="Consolas" w:hAnsi="Consolas"/>
                <w:b w:val="0"/>
                <w:color w:val="7A6C62"/>
                <w:sz w:val="18"/>
              </w:rPr>
              <w:t>ÉCHANTILLON SUR DEMANDE</w:t>
            </w:r>
          </w:p>
        </w:tc>
      </w:tr>
    </w:tbl>
    <w:p/>
    <w:p>
      <w:pPr>
        <w:spacing w:before="0" w:after="140"/>
      </w:pPr>
      <w:r>
        <w:rPr>
          <w:b w:val="0"/>
          <w:i w:val="0"/>
          <w:sz w:val="21"/>
        </w:rPr>
        <w:t>Ces bandes ne décorent pas : elles portent les données réelles de la section qui suit. Le même vocabulaire visuel se retrouve sur chaque fiche produit, avec la spécification exacte du certificat.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Votre argument central est le contrôle et la traçabilité. Le site ne se contente pas de le dire : il en adopte le langage. Un acheteur reconnaît immédiatement des codes qu’il manipule tous les jours — c’est une crédibilité qu’aucun texte promotionnel n’achète.</w:t>
            </w:r>
          </w:p>
        </w:tc>
      </w:tr>
    </w:tbl>
    <w:p/>
    <w:p>
      <w:r>
        <w:br w:type="page"/>
      </w:r>
    </w:p>
    <w:p>
      <w:pPr>
        <w:pStyle w:val="Heading2"/>
      </w:pPr>
      <w:r>
        <w:t>5. Le catalogue des quatre filières</w:t>
      </w:r>
    </w:p>
    <w:p>
      <w:pPr>
        <w:spacing w:before="0" w:after="140"/>
      </w:pPr>
      <w:r>
        <w:rPr>
          <w:b w:val="0"/>
          <w:i w:val="0"/>
          <w:sz w:val="21"/>
        </w:rPr>
        <w:t>Chaque filière a sa carte : photographie, région d’origine, étiquette de qualité, description, et la ligne d’analyse encadrée de filets.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Filière</w:t>
            </w:r>
          </w:p>
        </w:tc>
        <w:tc>
          <w:tcPr>
            <w:tcW w:type="dxa" w:w="1814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Étiquette</w:t>
            </w:r>
          </w:p>
        </w:tc>
        <w:tc>
          <w:tcPr>
            <w:tcW w:type="dxa" w:w="4649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Ce que l’acheteur lit</w:t>
            </w:r>
          </w:p>
        </w:tc>
      </w:tr>
      <w:tr>
        <w:tc>
          <w:tcPr>
            <w:tcW w:type="dxa" w:w="260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Cacao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Grade I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HUM. ≤ 7,5 % · 95–105 fèves/100 g</w:t>
            </w:r>
          </w:p>
        </w:tc>
      </w:tr>
      <w:tr>
        <w:tc>
          <w:tcPr>
            <w:tcW w:type="dxa" w:w="260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Café</w:t>
            </w:r>
          </w:p>
        </w:tc>
        <w:tc>
          <w:tcPr>
            <w:tcW w:type="dxa" w:w="181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Screen 15+</w:t>
            </w:r>
          </w:p>
        </w:tc>
        <w:tc>
          <w:tcPr>
            <w:tcW w:type="dxa" w:w="464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HUM. 10–12 % · arabica &amp; robusta</w:t>
            </w:r>
          </w:p>
        </w:tc>
      </w:tr>
      <w:tr>
        <w:tc>
          <w:tcPr>
            <w:tcW w:type="dxa" w:w="260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Soja grain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Non-OGM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PROT. ≥ 36 % · impuretés ≤ 2 %</w:t>
            </w:r>
          </w:p>
        </w:tc>
      </w:tr>
      <w:tr>
        <w:tc>
          <w:tcPr>
            <w:tcW w:type="dxa" w:w="260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Poivre blanc de Penja</w:t>
            </w:r>
          </w:p>
        </w:tc>
        <w:tc>
          <w:tcPr>
            <w:tcW w:type="dxa" w:w="181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IGP</w:t>
            </w:r>
          </w:p>
        </w:tc>
        <w:tc>
          <w:tcPr>
            <w:tcW w:type="dxa" w:w="464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Calibre 4–5 mm · vallée du Moungo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 acheteur compare des origines sur des chiffres, pas sur des adjectifs. Publier vos spécifications, c’est accepter d’être comparé — et c’est précisément le signe qu’on n’a rien à cacher. Les concurrents qui écrivent « qualité supérieure » perdent la comparaison avant de l’avoir engagée.</w:t>
            </w:r>
          </w:p>
        </w:tc>
      </w:tr>
    </w:tbl>
    <w:p/>
    <w:p>
      <w:pPr>
        <w:pStyle w:val="Heading2"/>
      </w:pPr>
      <w:r>
        <w:t>6. Votre savoir-faire, en quatre engagements</w:t>
      </w:r>
    </w:p>
    <w:p>
      <w:pPr>
        <w:spacing w:before="0" w:after="140"/>
      </w:pPr>
      <w:r>
        <w:rPr>
          <w:b w:val="0"/>
          <w:i w:val="0"/>
          <w:sz w:val="21"/>
        </w:rPr>
        <w:t>Une photographie de votre entrepôt de tri occupe toute la largeur gauche de l’écran, face à quatre engagements : contrôle qualité, achat direct, documentation complète, départ Douala et Kribi.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« Un seul interlocuteur sur toute la chaîne » est l’argument qui vous distingue d’un simple courtier. Il est placé là où l’acheteur se demande à qui il aura réellement affaire.</w:t>
            </w:r>
          </w:p>
        </w:tc>
      </w:tr>
    </w:tbl>
    <w:p/>
    <w:p>
      <w:pPr>
        <w:pStyle w:val="Heading2"/>
      </w:pPr>
      <w:r>
        <w:t>7. Le procédé, de la plantation au navire</w:t>
      </w:r>
    </w:p>
    <w:p>
      <w:pPr>
        <w:spacing w:before="0" w:after="140"/>
      </w:pPr>
      <w:r>
        <w:rPr>
          <w:b w:val="0"/>
          <w:i w:val="0"/>
          <w:sz w:val="21"/>
        </w:rPr>
        <w:t>Six étapes numérotées, présentées comme un relevé plutôt que comme une infographie : producteur, collecte, traitement, contrôle qualité, logistique, export.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C’est la réponse à l’objection la plus coûteuse du métier : « comment savoir d’où vient réellement ce lot ? ». Le site répond par un procédé nommé, ordonné et vérifiable, et non par une promesse.</w:t>
            </w:r>
          </w:p>
        </w:tc>
      </w:tr>
    </w:tbl>
    <w:p/>
    <w:p>
      <w:pPr>
        <w:pStyle w:val="Heading2"/>
      </w:pPr>
      <w:r>
        <w:t>8. Les destinations, consultables en un clic</w:t>
      </w:r>
    </w:p>
    <w:p>
      <w:pPr>
        <w:spacing w:before="0" w:after="140"/>
      </w:pPr>
      <w:r>
        <w:rPr>
          <w:b w:val="0"/>
          <w:i w:val="0"/>
          <w:sz w:val="21"/>
        </w:rPr>
        <w:t>Quatre zones — Afrique, Europe, Asie, Moyen-Orient. L’acheteur choisit la sienne et la fiche se met à jour instantanément : ports desservis, délai de transit depuis Douala, incoterms praticables, produits expédiés.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4195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Ports</w:t>
            </w:r>
          </w:p>
        </w:tc>
        <w:tc>
          <w:tcPr>
            <w:tcW w:type="dxa" w:w="1474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Transit</w:t>
            </w:r>
          </w:p>
        </w:tc>
        <w:tc>
          <w:tcPr>
            <w:tcW w:type="dxa" w:w="1701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Incoterms</w:t>
            </w:r>
          </w:p>
        </w:tc>
      </w:tr>
      <w:tr>
        <w:tc>
          <w:tcPr>
            <w:tcW w:type="dxa" w:w="1701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Europe</w:t>
            </w:r>
          </w:p>
        </w:tc>
        <w:tc>
          <w:tcPr>
            <w:tcW w:type="dxa" w:w="419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Rotterdam, Anvers, Le Havre, Gênes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18 à 24 j</w:t>
            </w:r>
          </w:p>
        </w:tc>
        <w:tc>
          <w:tcPr>
            <w:tcW w:type="dxa" w:w="1701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FOB, CFR, CIF</w:t>
            </w:r>
          </w:p>
        </w:tc>
      </w:tr>
      <w:tr>
        <w:tc>
          <w:tcPr>
            <w:tcW w:type="dxa" w:w="1701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Asie</w:t>
            </w:r>
          </w:p>
        </w:tc>
        <w:tc>
          <w:tcPr>
            <w:tcW w:type="dxa" w:w="4195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Singapour, Shanghai, Hô-Chi-Minh, Karachi</w:t>
            </w:r>
          </w:p>
        </w:tc>
        <w:tc>
          <w:tcPr>
            <w:tcW w:type="dxa" w:w="147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26 à 34 j</w:t>
            </w:r>
          </w:p>
        </w:tc>
        <w:tc>
          <w:tcPr>
            <w:tcW w:type="dxa" w:w="1701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FOB, CFR</w:t>
            </w:r>
          </w:p>
        </w:tc>
      </w:tr>
      <w:tr>
        <w:tc>
          <w:tcPr>
            <w:tcW w:type="dxa" w:w="1701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Moyen-Orient</w:t>
            </w:r>
          </w:p>
        </w:tc>
        <w:tc>
          <w:tcPr>
            <w:tcW w:type="dxa" w:w="419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Jebel Ali, Dammam, Mersin</w:t>
            </w:r>
          </w:p>
        </w:tc>
        <w:tc>
          <w:tcPr>
            <w:tcW w:type="dxa" w:w="147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20 à 26 j</w:t>
            </w:r>
          </w:p>
        </w:tc>
        <w:tc>
          <w:tcPr>
            <w:tcW w:type="dxa" w:w="1701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FOB, CIF</w:t>
            </w:r>
          </w:p>
        </w:tc>
      </w:tr>
      <w:tr>
        <w:tc>
          <w:tcPr>
            <w:tcW w:type="dxa" w:w="1701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Afrique</w:t>
            </w:r>
          </w:p>
        </w:tc>
        <w:tc>
          <w:tcPr>
            <w:tcW w:type="dxa" w:w="4195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Lagos, Libreville, Le Cap, Durban</w:t>
            </w:r>
          </w:p>
        </w:tc>
        <w:tc>
          <w:tcPr>
            <w:tcW w:type="dxa" w:w="147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7 à 18 j</w:t>
            </w:r>
          </w:p>
        </w:tc>
        <w:tc>
          <w:tcPr>
            <w:tcW w:type="dxa" w:w="1701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EXW, FOB, CFR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Le délai de transit est souvent la première question d’un importateur, et celle qui provoque un appel téléphonique. En y répondant sur le site, vous supprimez un aller-retour et vous gagnez l’acheteur pressé.</w:t>
            </w:r>
          </w:p>
        </w:tc>
      </w:tr>
    </w:tbl>
    <w:p/>
    <w:p>
      <w:r>
        <w:br w:type="page"/>
      </w:r>
    </w:p>
    <w:p>
      <w:pPr>
        <w:pStyle w:val="Heading2"/>
      </w:pPr>
      <w:r>
        <w:t>9. La preuve par les tiers</w:t>
      </w:r>
    </w:p>
    <w:p>
      <w:pPr>
        <w:spacing w:before="0" w:after="140"/>
      </w:pPr>
      <w:r>
        <w:rPr>
          <w:b w:val="0"/>
          <w:i w:val="0"/>
          <w:sz w:val="21"/>
        </w:rPr>
        <w:t>Trois témoignages d’acheteurs et un bandeau de références sectorielles — CICC, GICAM, IGP Penja, Port de Douala, ANOR.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 acheteur qui ne vous connaît pas cherche qui vous connaît déjà. Ces deux blocs répondent à cette question avant qu’il ne la pose.</w:t>
            </w:r>
          </w:p>
        </w:tc>
      </w:tr>
    </w:tbl>
    <w:p/>
    <w:p>
      <w:pPr>
        <w:pStyle w:val="Heading2"/>
      </w:pPr>
      <w:r>
        <w:t>10. Le formulaire qui qualifie</w:t>
      </w:r>
    </w:p>
    <w:p>
      <w:pPr>
        <w:spacing w:before="0" w:after="140"/>
      </w:pPr>
      <w:r>
        <w:rPr>
          <w:b w:val="0"/>
          <w:i w:val="0"/>
          <w:sz w:val="21"/>
        </w:rPr>
        <w:t>Six champs, choisis pour que chaque demande arrive utilisable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494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576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Pourquoi il est là</w:t>
            </w:r>
          </w:p>
        </w:tc>
      </w:tr>
      <w:tr>
        <w:tc>
          <w:tcPr>
            <w:tcW w:type="dxa" w:w="249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Société</w:t>
            </w:r>
          </w:p>
        </w:tc>
        <w:tc>
          <w:tcPr>
            <w:tcW w:type="dxa" w:w="6576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Distingue un professionnel d’un curieux — champ obligatoire</w:t>
            </w:r>
          </w:p>
        </w:tc>
      </w:tr>
      <w:tr>
        <w:tc>
          <w:tcPr>
            <w:tcW w:type="dxa" w:w="249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Courriel</w:t>
            </w:r>
          </w:p>
        </w:tc>
        <w:tc>
          <w:tcPr>
            <w:tcW w:type="dxa" w:w="6576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Canal de réponse, format vérifié à la saisie — champ obligatoire</w:t>
            </w:r>
          </w:p>
        </w:tc>
      </w:tr>
      <w:tr>
        <w:tc>
          <w:tcPr>
            <w:tcW w:type="dxa" w:w="249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Pays de destination</w:t>
            </w:r>
          </w:p>
        </w:tc>
        <w:tc>
          <w:tcPr>
            <w:tcW w:type="dxa" w:w="6576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Détermine l’incoterm et le délai de transit à proposer</w:t>
            </w:r>
          </w:p>
        </w:tc>
      </w:tr>
      <w:tr>
        <w:tc>
          <w:tcPr>
            <w:tcW w:type="dxa" w:w="249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Produit</w:t>
            </w:r>
          </w:p>
        </w:tc>
        <w:tc>
          <w:tcPr>
            <w:tcW w:type="dxa" w:w="6576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Liste fermée : la demande porte sur une filière que vous traitez</w:t>
            </w:r>
          </w:p>
        </w:tc>
      </w:tr>
      <w:tr>
        <w:tc>
          <w:tcPr>
            <w:tcW w:type="dxa" w:w="2494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Quantité</w:t>
            </w:r>
          </w:p>
        </w:tc>
        <w:tc>
          <w:tcPr>
            <w:tcW w:type="dxa" w:w="6576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Permet de savoir immédiatement si le volume est traitable</w:t>
            </w:r>
          </w:p>
        </w:tc>
      </w:tr>
      <w:tr>
        <w:tc>
          <w:tcPr>
            <w:tcW w:type="dxa" w:w="2494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Message</w:t>
            </w:r>
          </w:p>
        </w:tc>
        <w:tc>
          <w:tcPr>
            <w:tcW w:type="dxa" w:w="6576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Spécifications, calendrier, port de destination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 formulaire « nom, e-mail, message » produit des demandes vides qu’il faut relancer. Celui-ci produit des demandes auxquelles vous pouvez répondre par un prix dès la première réponse. C’est autant de cycles commerciaux économisés.</w:t>
            </w:r>
          </w:p>
        </w:tc>
      </w:tr>
    </w:tbl>
    <w:p/>
    <w:p>
      <w:pPr>
        <w:pStyle w:val="Heading2"/>
      </w:pPr>
      <w:r>
        <w:t>11. Votre identité de marque, appliquée sans exception</w:t>
      </w:r>
    </w:p>
    <w:p>
      <w:pPr>
        <w:spacing w:before="0" w:after="140"/>
      </w:pPr>
      <w:r>
        <w:rPr>
          <w:b w:val="0"/>
          <w:i w:val="0"/>
          <w:sz w:val="21"/>
        </w:rPr>
        <w:t>Le logo retenu — le S brique posé sur le bandeau ocre biseauté — est décliné pour chaque usage : version complète avec raison sociale pour vos documents d’export, version courte pour l’écran et les signatures de courriel, symbole seul pour l’icône de navigateur.</w:t>
      </w:r>
    </w:p>
    <w:p>
      <w:pPr>
        <w:spacing w:before="0" w:after="140"/>
      </w:pPr>
      <w:r>
        <w:rPr>
          <w:b w:val="0"/>
          <w:i w:val="0"/>
          <w:sz w:val="21"/>
        </w:rPr>
        <w:t>Toutes ses proportions sont calculées : le logo se met à n’importe quelle taille sans jamais se déformer, et sans qu’on ait à le recomposer à la 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Couleur</w:t>
            </w:r>
          </w:p>
        </w:tc>
        <w:tc>
          <w:tcPr>
            <w:tcW w:type="dxa" w:w="1928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5216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Brique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#B8402B</w:t>
            </w:r>
          </w:p>
        </w:tc>
        <w:tc>
          <w:tcPr>
            <w:tcW w:type="dxa" w:w="5216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Action : boutons, liens — la couleur qui fait cliquer</w:t>
            </w:r>
          </w:p>
        </w:tc>
      </w:tr>
      <w:tr>
        <w:tc>
          <w:tcPr>
            <w:tcW w:type="dxa" w:w="192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Forêt</w:t>
            </w:r>
          </w:p>
        </w:tc>
        <w:tc>
          <w:tcPr>
            <w:tcW w:type="dxa" w:w="192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#1B5E4A</w:t>
            </w:r>
          </w:p>
        </w:tc>
        <w:tc>
          <w:tcPr>
            <w:tcW w:type="dxa" w:w="5216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Agriculture, qualité, certifications</w:t>
            </w:r>
          </w:p>
        </w:tc>
      </w:tr>
      <w:tr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Ocre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#E5B959</w:t>
            </w:r>
          </w:p>
        </w:tc>
        <w:tc>
          <w:tcPr>
            <w:tcW w:type="dxa" w:w="5216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bandeau du logo, les notations</w:t>
            </w:r>
          </w:p>
        </w:tc>
      </w:tr>
      <w:tr>
        <w:tc>
          <w:tcPr>
            <w:tcW w:type="dxa" w:w="192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Encre</w:t>
            </w:r>
          </w:p>
        </w:tc>
        <w:tc>
          <w:tcPr>
            <w:tcW w:type="dxa" w:w="192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Consolas" w:hAnsi="Consolas"/>
                <w:b w:val="0"/>
                <w:color w:val="5C5049"/>
                <w:sz w:val="19"/>
              </w:rPr>
              <w:t>#1C1815</w:t>
            </w:r>
          </w:p>
        </w:tc>
        <w:tc>
          <w:tcPr>
            <w:tcW w:type="dxa" w:w="5216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Titres et fonds sombres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3F0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ÇA VOUS APPORTE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Une charte respectée partout, y compris sur l’icône de l’onglet du navigateur, produit une impression de sérieux qui se transfère à l’entreprise. L’inverse est vrai aussi, et coûte plus cher.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B8402B"/>
          </w:tcPr>
          <w:p>
            <w:pPr>
              <w:spacing w:before="160" w:after="40"/>
            </w:pPr>
            <w:r/>
            <w:r>
              <w:rPr>
                <w:rFonts w:ascii="Segoe UI" w:hAnsi="Segoe UI"/>
                <w:b/>
                <w:color w:val="FFFFFF"/>
                <w:sz w:val="30"/>
              </w:rPr>
              <w:t>La qualité qu’on ne voit pas</w:t>
            </w:r>
          </w:p>
          <w:p>
            <w:pPr>
              <w:spacing w:after="160"/>
            </w:pPr>
            <w:r>
              <w:rPr>
                <w:rFonts w:ascii="Segoe UI" w:hAnsi="Segoe UI"/>
                <w:color w:val="E59B87"/>
                <w:sz w:val="20"/>
              </w:rPr>
              <w:t>Et ce qu’elle vous rapporte quand même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val="clear" w:color="auto" w:fill="EFF6F2"/>
          </w:tcPr>
          <w:p>
            <w:pPr>
              <w:spacing w:after="60" w:before="60"/>
            </w:pPr>
            <w:r>
              <w:rPr>
                <w:color w:val="1B5E4A"/>
              </w:rPr>
            </w:r>
            <w:r>
              <w:rPr>
                <w:rFonts w:ascii="Segoe UI" w:hAnsi="Segoe UI"/>
                <w:b/>
                <w:color w:val="1B5E4A"/>
                <w:sz w:val="18"/>
              </w:rPr>
              <w:t>Ce qui a été fait</w:t>
            </w:r>
          </w:p>
        </w:tc>
        <w:tc>
          <w:tcPr>
            <w:tcW w:type="dxa" w:w="5102"/>
            <w:shd w:val="clear" w:color="auto" w:fill="EFF6F2"/>
          </w:tcPr>
          <w:p>
            <w:pPr>
              <w:spacing w:after="60" w:before="60"/>
            </w:pPr>
            <w:r>
              <w:rPr>
                <w:color w:val="1B5E4A"/>
              </w:rPr>
            </w:r>
            <w:r>
              <w:rPr>
                <w:rFonts w:ascii="Segoe UI" w:hAnsi="Segoe UI"/>
                <w:b/>
                <w:color w:val="1B5E4A"/>
                <w:sz w:val="18"/>
              </w:rPr>
              <w:t>Ce que ça change pour vous</w:t>
            </w:r>
          </w:p>
        </w:tc>
      </w:tr>
      <w:tr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Page pré-calculée, images converties au format le plus léger que reconnaît le navigateur, polices hébergées avec le site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site s’affiche vite, y compris sur une connexion mobile africaine ou depuis l’Asie. Un site lent perd la moitié de ses visiteurs avant l’affichage.</w:t>
            </w:r>
          </w:p>
        </w:tc>
      </w:tr>
      <w:tr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Contenu lisible sans exécution de code, titres hiérarchisés, description et image de partage renseignées</w:t>
            </w:r>
          </w:p>
        </w:tc>
        <w:tc>
          <w:tcPr>
            <w:tcW w:type="dxa" w:w="5102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Les moteurs de recherche indexent tout le contenu. Un lien partagé sur WhatsApp ou LinkedIn affiche un aperçu propre au lieu d’une URL nue.</w:t>
            </w:r>
          </w:p>
        </w:tc>
      </w:tr>
      <w:tr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Navigation au clavier, contrastes contrôlés, alternatives textuelles sur les images, animations désactivables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site reste utilisable par tous, y compris en situation de handicap — une exigence de plus en plus courante dans les appels d’offres publics et les grands groupes.</w:t>
            </w:r>
          </w:p>
        </w:tc>
      </w:tr>
      <w:tr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Mise en page fluide de 320 px à 2560 px de large</w:t>
            </w:r>
          </w:p>
        </w:tc>
        <w:tc>
          <w:tcPr>
            <w:tcW w:type="dxa" w:w="5102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site est aussi soigné sur le téléphone d’un acheteur en déplacement que sur l’écran de son bureau.</w:t>
            </w:r>
          </w:p>
        </w:tc>
      </w:tr>
      <w:tr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Contenu éditorial regroupé dans un fichier unique</w:t>
            </w:r>
          </w:p>
        </w:tc>
        <w:tc>
          <w:tcPr>
            <w:tcW w:type="dxa" w:w="510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Corriger un chiffre, une spécification ou un numéro de téléphone est une intervention de quelques minutes, sans toucher au design.</w:t>
            </w:r>
          </w:p>
        </w:tc>
      </w:tr>
    </w:tbl>
    <w:p/>
    <w:p>
      <w:r>
        <w:br w:type="page"/>
      </w:r>
    </w:p>
    <w:p>
      <w:pPr>
        <w:pStyle w:val="Heading1"/>
      </w:pPr>
      <w:r>
        <w:t>Ce qui est livré, ce qui suit</w:t>
      </w:r>
    </w:p>
    <w:p>
      <w:pPr>
        <w:spacing w:before="0" w:after="140"/>
      </w:pPr>
      <w:r>
        <w:rPr>
          <w:b w:val="0"/>
          <w:i w:val="0"/>
          <w:sz w:val="21"/>
        </w:rPr>
        <w:t>Par honnêteté et pour que vous puissiez planifier la mise en ligne, voici l’état exact du projet.</w:t>
      </w:r>
    </w:p>
    <w:p>
      <w:pPr>
        <w:pStyle w:val="Heading2"/>
      </w:pPr>
      <w:r>
        <w:t>Livré et opérationnel</w:t>
      </w:r>
    </w:p>
    <w:p>
      <w:pPr>
        <w:pStyle w:val="ListBullet"/>
        <w:spacing w:after="80"/>
      </w:pPr>
      <w:r>
        <w:rPr>
          <w:color w:val="5C5049"/>
          <w:sz w:val="21"/>
        </w:rPr>
        <w:t>Page d’accueil complète, quinze blocs, entièrement responsive.</w:t>
      </w:r>
    </w:p>
    <w:p>
      <w:pPr>
        <w:pStyle w:val="ListBullet"/>
        <w:spacing w:after="80"/>
      </w:pPr>
      <w:r>
        <w:rPr>
          <w:color w:val="5C5049"/>
          <w:sz w:val="21"/>
        </w:rPr>
        <w:t>Identité de marque appliquée : logo décliné, palette, typographies.</w:t>
      </w:r>
    </w:p>
    <w:p>
      <w:pPr>
        <w:pStyle w:val="ListBullet"/>
        <w:spacing w:after="80"/>
      </w:pPr>
      <w:r>
        <w:rPr>
          <w:color w:val="5C5049"/>
          <w:sz w:val="21"/>
        </w:rPr>
        <w:t>Catalogue des quatre filières avec spécifications.</w:t>
      </w:r>
    </w:p>
    <w:p>
      <w:pPr>
        <w:pStyle w:val="ListBullet"/>
        <w:spacing w:after="80"/>
      </w:pPr>
      <w:r>
        <w:rPr>
          <w:color w:val="5C5049"/>
          <w:sz w:val="21"/>
        </w:rPr>
        <w:t>Sélecteur de destinations interactif.</w:t>
      </w:r>
    </w:p>
    <w:p>
      <w:pPr>
        <w:pStyle w:val="ListBullet"/>
        <w:spacing w:after="80"/>
      </w:pPr>
      <w:r>
        <w:rPr>
          <w:color w:val="5C5049"/>
          <w:sz w:val="21"/>
        </w:rPr>
        <w:t>Formulaire de devis avec vérification de saisie et écran de confirmation.</w:t>
      </w:r>
    </w:p>
    <w:p>
      <w:pPr>
        <w:pStyle w:val="ListBullet"/>
        <w:spacing w:after="80"/>
      </w:pPr>
      <w:r>
        <w:rPr>
          <w:color w:val="5C5049"/>
          <w:sz w:val="21"/>
        </w:rPr>
        <w:t>Optimisation des performances, du référencement et de l’accessibilité.</w:t>
      </w:r>
    </w:p>
    <w:p>
      <w:pPr>
        <w:pStyle w:val="ListBullet"/>
        <w:spacing w:after="80"/>
      </w:pPr>
      <w:r>
        <w:rPr>
          <w:color w:val="5C5049"/>
          <w:sz w:val="21"/>
        </w:rPr>
        <w:t>Code source livré et versionné.</w:t>
      </w:r>
    </w:p>
    <w:p>
      <w:pPr>
        <w:pStyle w:val="Heading2"/>
      </w:pPr>
      <w:r>
        <w:t>À décider avec vous avant la mise en ligne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Sujet</w:t>
            </w:r>
          </w:p>
        </w:tc>
        <w:tc>
          <w:tcPr>
            <w:tcW w:type="dxa" w:w="3175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Ce qu’il reste à faire</w:t>
            </w:r>
          </w:p>
        </w:tc>
        <w:tc>
          <w:tcPr>
            <w:tcW w:type="dxa" w:w="3969"/>
            <w:shd w:val="clear" w:color="auto" w:fill="1C181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Pourquoi c’est important</w:t>
            </w:r>
          </w:p>
        </w:tc>
      </w:tr>
      <w:tr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Acheminement des demandes</w:t>
            </w:r>
          </w:p>
        </w:tc>
        <w:tc>
          <w:tcPr>
            <w:tcW w:type="dxa" w:w="317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Choisir où les demandes de devis doivent arriver : boîte courriel, outil de suivi, ou les deux.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 formulaire est en place et validé ; il attend sa destination. À trancher avant l’ouverture au public.</w:t>
            </w:r>
          </w:p>
        </w:tc>
      </w:tr>
      <w:tr>
        <w:tc>
          <w:tcPr>
            <w:tcW w:type="dxa" w:w="192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Photographies</w:t>
            </w:r>
          </w:p>
        </w:tc>
        <w:tc>
          <w:tcPr>
            <w:tcW w:type="dxa" w:w="3175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Organiser une prise de vue : plantations, entrepôt de tri, port.</w:t>
            </w:r>
          </w:p>
        </w:tc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Les visuels actuels sont des images de démonstration. Sur un site dont l’argument est le contrôle physique des lots, des photographies réelles pèsent lourd.</w:t>
            </w:r>
          </w:p>
        </w:tc>
      </w:tr>
      <w:tr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Chiffres et témoignages</w:t>
            </w:r>
          </w:p>
        </w:tc>
        <w:tc>
          <w:tcPr>
            <w:tcW w:type="dxa" w:w="317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Confirmer ou corriger les chiffres affichés et les trois témoignages.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Un chiffre publié engage l’entreprise. Ceux du site viennent de la maquette et attendent votre validation.</w:t>
            </w:r>
          </w:p>
        </w:tc>
      </w:tr>
      <w:tr>
        <w:tc>
          <w:tcPr>
            <w:tcW w:type="dxa" w:w="1928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Pages Produits et À propos</w:t>
            </w:r>
          </w:p>
        </w:tc>
        <w:tc>
          <w:tcPr>
            <w:tcW w:type="dxa" w:w="3175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Décider de leur réalisation.</w:t>
            </w:r>
          </w:p>
        </w:tc>
        <w:tc>
          <w:tcPr>
            <w:tcW w:type="dxa" w:w="3969"/>
            <w:shd w:val="clear" w:color="auto" w:fill="F8F5F2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Les maquettes et les visuels existent déjà. Elles approfondiraient chaque filière et présenteraient l’équipe.</w:t>
            </w:r>
          </w:p>
        </w:tc>
      </w:tr>
      <w:tr>
        <w:tc>
          <w:tcPr>
            <w:tcW w:type="dxa" w:w="1928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/>
                <w:color w:val="1C1815"/>
                <w:sz w:val="19"/>
              </w:rPr>
              <w:t>Nom de domaine</w:t>
            </w:r>
          </w:p>
        </w:tc>
        <w:tc>
          <w:tcPr>
            <w:tcW w:type="dxa" w:w="3175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Réserver et raccorder l’adresse définitive.</w:t>
            </w:r>
          </w:p>
        </w:tc>
        <w:tc>
          <w:tcPr>
            <w:tcW w:type="dxa" w:w="3969"/>
          </w:tcPr>
          <w:p>
            <w:pPr>
              <w:spacing w:after="60" w:before="60"/>
            </w:pPr>
            <w:r/>
            <w:r>
              <w:rPr>
                <w:rFonts w:ascii="Segoe UI" w:hAnsi="Segoe UI"/>
                <w:b w:val="0"/>
                <w:color w:val="5C5049"/>
                <w:sz w:val="19"/>
              </w:rPr>
              <w:t>Une adresse à votre nom, plutôt qu’une adresse technique, dans chaque signature et chaque devis.</w:t>
            </w:r>
          </w:p>
        </w:tc>
      </w:tr>
    </w:tbl>
    <w:p/>
    <w:p>
      <w:pPr>
        <w:pStyle w:val="Heading1"/>
      </w:pPr>
      <w:r>
        <w:t>Prochaine étape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2"/>
      </w:tblGrid>
      <w:tr>
        <w:tc>
          <w:tcPr>
            <w:tcW w:type="dxa" w:w="9632"/>
            <w:shd w:val="clear" w:color="auto" w:fill="FDF7EC"/>
          </w:tcPr>
          <w:p>
            <w:pPr>
              <w:spacing w:before="140" w:after="20"/>
            </w:pPr>
            <w:r/>
            <w:r>
              <w:rPr>
                <w:rFonts w:ascii="Consolas" w:hAnsi="Consolas"/>
                <w:b/>
                <w:color w:val="B8402B"/>
                <w:sz w:val="15"/>
              </w:rPr>
              <w:t>CE QUE JE PROPOSE</w:t>
            </w:r>
          </w:p>
          <w:p>
            <w:pPr>
              <w:spacing w:after="140"/>
            </w:pPr>
            <w:r>
              <w:rPr>
                <w:rFonts w:ascii="Segoe UI" w:hAnsi="Segoe UI"/>
                <w:color w:val="1C1815"/>
                <w:sz w:val="20"/>
              </w:rPr>
              <w:t>Une réunion d’une heure suffit à trancher les cinq points ci-dessus. Le site peut être en ligne dans la foulée, les photographies et les pages complémentaires venant l’enrichir ensuite sans interrompre son fonctionnement.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A6C62"/>
        <w:sz w:val="16"/>
      </w:rPr>
      <w:t xml:space="preserve">SICCAM SARL — présentation du site vitrine —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Segoe UI" w:hAnsi="Segoe UI"/>
      <w:color w:val="5C50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Segoe UI" w:hAnsi="Segoe UI"/>
      <w:b/>
      <w:bCs/>
      <w:color w:val="B840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Segoe UI" w:hAnsi="Segoe UI"/>
      <w:b/>
      <w:bCs/>
      <w:color w:val="1C18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SICCAM SARL — présentation du site vitrine</dc:title>
  <dc:subject>Fonctionnalités du site et bénéfices pour l’activité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Présentation commerciale</cp:category>
  <dc:language>fr-FR</dc:language>
</cp:coreProperties>
</file>