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p>
    <w:p>
      <w:pPr>
        <w:jc w:val="center"/>
      </w:pPr>
      <w:r>
        <w:drawing>
          <wp:inline xmlns:a="http://schemas.openxmlformats.org/drawingml/2006/main" xmlns:pic="http://schemas.openxmlformats.org/drawingml/2006/picture">
            <wp:extent cx="1143000" cy="1700212"/>
            <wp:docPr id="1" name="Picture 1" title="CoachFI AI" descr="Symbol marki CoachFI: Mila w czapce absolwenta i książka"/>
            <wp:cNvGraphicFramePr>
              <a:graphicFrameLocks noChangeAspect="1"/>
            </wp:cNvGraphicFramePr>
            <a:graphic>
              <a:graphicData uri="http://schemas.openxmlformats.org/drawingml/2006/picture">
                <pic:pic>
                  <pic:nvPicPr>
                    <pic:cNvPr id="0" name="coachfi-symbol-cap-book.png"/>
                    <pic:cNvPicPr/>
                  </pic:nvPicPr>
                  <pic:blipFill>
                    <a:blip r:embed="rId11"/>
                    <a:stretch>
                      <a:fillRect/>
                    </a:stretch>
                  </pic:blipFill>
                  <pic:spPr>
                    <a:xfrm>
                      <a:off x="0" y="0"/>
                      <a:ext cx="1143000" cy="1700212"/>
                    </a:xfrm>
                    <a:prstGeom prst="rect"/>
                  </pic:spPr>
                </pic:pic>
              </a:graphicData>
            </a:graphic>
          </wp:inline>
        </w:drawing>
      </w:r>
    </w:p>
    <w:p>
      <w:pPr>
        <w:spacing w:after="360"/>
      </w:pPr>
    </w:p>
    <w:p>
      <w:pPr>
        <w:jc w:val="center"/>
      </w:pPr>
      <w:r>
        <w:rPr>
          <w:rFonts w:ascii="Nunito" w:hAnsi="Nunito" w:eastAsia="Nunito"/>
          <w:b/>
          <w:color w:val="1E1B2E"/>
          <w:sz w:val="72"/>
        </w:rPr>
        <w:t>CoachFI AI</w:t>
      </w:r>
    </w:p>
    <w:p>
      <w:pPr>
        <w:jc w:val="center"/>
      </w:pPr>
      <w:r>
        <w:rPr>
          <w:rFonts w:ascii="Nunito" w:hAnsi="Nunito" w:eastAsia="Nunito"/>
          <w:b/>
          <w:color w:val="5B4BC4"/>
          <w:sz w:val="46"/>
        </w:rPr>
        <w:t>White Paper</w:t>
      </w:r>
    </w:p>
    <w:p>
      <w:pPr>
        <w:spacing w:before="160" w:after="400"/>
        <w:jc w:val="center"/>
      </w:pPr>
      <w:r>
        <w:rPr>
          <w:rFonts w:ascii="Nunito" w:hAnsi="Nunito" w:eastAsia="Nunito"/>
          <w:color w:val="4A4560"/>
          <w:sz w:val="26"/>
        </w:rPr>
        <w:t>AI-supported financial education with accessibility by design and verifiable achievement certificates on Solana Devnet.</w:t>
      </w:r>
    </w:p>
    <w:p>
      <w:pPr>
        <w:jc w:val="center"/>
        <w:shd w:fill="EBE1FF"/>
        <w:spacing w:before="120" w:after="120" w:line="280" w:lineRule="auto"/>
        <w:ind w:left="220" w:right="220"/>
      </w:pPr>
      <w:r>
        <w:rPr>
          <w:rFonts w:ascii="Nunito" w:hAnsi="Nunito" w:eastAsia="Nunito"/>
          <w:b/>
          <w:color w:val="1E1B2E"/>
          <w:sz w:val="18"/>
        </w:rPr>
        <w:t>Version 1.0</w:t>
      </w:r>
      <w:r>
        <w:t xml:space="preserve">   ·   </w:t>
      </w:r>
      <w:r>
        <w:rPr>
          <w:rFonts w:ascii="Nunito" w:hAnsi="Nunito" w:eastAsia="Nunito"/>
          <w:b/>
          <w:color w:val="1E1B2E"/>
          <w:sz w:val="18"/>
        </w:rPr>
        <w:t>13 October 2026</w:t>
      </w:r>
      <w:r>
        <w:t xml:space="preserve">   ·   </w:t>
      </w:r>
      <w:r>
        <w:rPr>
          <w:rFonts w:ascii="Nunito" w:hAnsi="Nunito" w:eastAsia="Nunito"/>
          <w:b/>
          <w:color w:val="1E1B2E"/>
          <w:sz w:val="18"/>
        </w:rPr>
        <w:t>Public MVP - Adult / US / English / free</w:t>
      </w:r>
    </w:p>
    <w:p>
      <w:pPr>
        <w:spacing w:after="1400"/>
      </w:pPr>
    </w:p>
    <w:p>
      <w:pPr>
        <w:jc w:val="center"/>
      </w:pPr>
      <w:r>
        <w:rPr>
          <w:rFonts w:ascii="Nunito" w:hAnsi="Nunito" w:eastAsia="Nunito"/>
          <w:b/>
          <w:color w:val="1E1B2E"/>
          <w:sz w:val="24"/>
        </w:rPr>
        <w:t>Financial confidence should be a habit, not a privilege.</w:t>
      </w:r>
    </w:p>
    <w:p>
      <w:r>
        <w:br w:type="page"/>
      </w:r>
    </w:p>
    <w:p>
      <w:pPr>
        <w:spacing w:after="60"/>
      </w:pPr>
      <w:r>
        <w:rPr>
          <w:rFonts w:ascii="Nunito" w:hAnsi="Nunito" w:eastAsia="Nunito"/>
          <w:b/>
          <w:color w:val="5B4BC4"/>
          <w:sz w:val="18"/>
        </w:rPr>
        <w:t>DOCUMENT STATUS</w:t>
      </w:r>
    </w:p>
    <w:p>
      <w:pPr>
        <w:pStyle w:val="Heading1"/>
        <w:spacing w:after="100"/>
      </w:pPr>
      <w:r>
        <w:t>How to read this White Paper</w:t>
      </w:r>
    </w:p>
    <w:p>
      <w:pPr>
        <w:spacing w:after="180" w:line="259" w:lineRule="auto"/>
      </w:pPr>
      <w:r>
        <w:rPr>
          <w:rFonts w:ascii="Nunito" w:hAnsi="Nunito" w:eastAsia="Nunito"/>
          <w:b w:val="0"/>
          <w:color w:val="4A4560"/>
          <w:sz w:val="23"/>
        </w:rPr>
        <w:t>This document describes the public CoachFI MVP, its target architecture, and the conditions for responsible growth. It separates the current product, available evidence, and future plans.</w:t>
      </w:r>
    </w:p>
    <w:tbl>
      <w:tblPr>
        <w:tblW w:type="auto" w:w="0"/>
        <w:jc w:val="center"/>
        <w:tblLayout w:type="fixed"/>
        <w:tblLook w:firstColumn="1" w:firstRow="1" w:lastColumn="0" w:lastRow="0" w:noHBand="0" w:noVBand="1" w:val="04A0"/>
      </w:tblPr>
      <w:tblGrid>
        <w:gridCol w:w="2088"/>
        <w:gridCol w:w="8136"/>
      </w:tblGrid>
      <w:tr>
        <w:trPr>
          <w:tblHeader w:val="true"/>
        </w:trPr>
        <w:tc>
          <w:tcPr>
            <w:tcW w:type="dxa" w:w="5112"/>
            <w:shd w:fill="EBE1FF"/>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Layer</w:t>
            </w:r>
          </w:p>
        </w:tc>
        <w:tc>
          <w:tcPr>
            <w:tcW w:type="dxa" w:w="5112"/>
            <w:shd w:fill="EBE1FF"/>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Meaning in this document</w:t>
            </w:r>
          </w:p>
        </w:tc>
      </w:tr>
      <w:tr>
        <w:trPr>
          <w:cantSplit/>
        </w:trPr>
        <w:tc>
          <w:tcPr>
            <w:tcW w:type="dxa" w:w="2088"/>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Operating now</w:t>
            </w:r>
          </w:p>
        </w:tc>
        <w:tc>
          <w:tcPr>
            <w:tcW w:type="dxa" w:w="8136"/>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The public application and Solana Devnet rewards flow. The project owner confirms that the flow works, and the Rewards page is publicly available.</w:t>
            </w:r>
          </w:p>
        </w:tc>
      </w:tr>
      <w:tr>
        <w:trPr>
          <w:cantSplit/>
        </w:trPr>
        <w:tc>
          <w:tcPr>
            <w:tcW w:type="dxa" w:w="2088"/>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Independent verification</w:t>
            </w:r>
          </w:p>
        </w:tc>
        <w:tc>
          <w:tcPr>
            <w:tcW w:type="dxa" w:w="8136"/>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A specific mint requires a transaction signature, asset address, expected owner, metadata, and the deployed program or standard.</w:t>
            </w:r>
          </w:p>
        </w:tc>
      </w:tr>
      <w:tr>
        <w:trPr>
          <w:cantSplit/>
        </w:trPr>
        <w:tc>
          <w:tcPr>
            <w:tcW w:type="dxa" w:w="2088"/>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Planned</w:t>
            </w:r>
          </w:p>
        </w:tc>
        <w:tc>
          <w:tcPr>
            <w:tcW w:type="dxa" w:w="8136"/>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Teen and Kids modes, PL/EU localization, white-label delivery, mainnet, and regulated integrations remain subject to the stated release gates.</w:t>
            </w:r>
          </w:p>
        </w:tc>
      </w:tr>
    </w:tbl>
    <w:p>
      <w:pPr>
        <w:spacing w:after="0"/>
      </w:pPr>
    </w:p>
    <w:p>
      <w:pPr>
        <w:pStyle w:val="Heading2"/>
      </w:pPr>
      <w:r>
        <w:t>Scope and disclaimer</w:t>
      </w:r>
    </w:p>
    <w:p>
      <w:r>
        <w:rPr>
          <w:rFonts w:ascii="Nunito" w:hAnsi="Nunito" w:eastAsia="Nunito"/>
          <w:color w:val="1E1B2E"/>
          <w:sz w:val="20"/>
        </w:rPr>
        <w:t>CoachFI is an educational product. It is not a bank, broker, investment adviser, or issuer of a financial instrument. This White Paper is not financial, investment, legal, or tax advice and does not promise financial outcomes.</w:t>
      </w:r>
    </w:p>
    <w:p>
      <w:r>
        <w:rPr>
          <w:rFonts w:ascii="Nunito" w:hAnsi="Nunito" w:eastAsia="Nunito"/>
          <w:color w:val="1E1B2E"/>
          <w:sz w:val="20"/>
        </w:rPr>
        <w:t>CoachFI does not present a token or tokenomics model. Points in the demo are a product mechanic. A certificate records completion of learning; it is not sold with an expectation of profit.</w:t>
      </w:r>
    </w:p>
    <w:p>
      <w:pPr>
        <w:pStyle w:val="Heading2"/>
      </w:pPr>
      <w:r>
        <w:t>Contents</w:t>
      </w:r>
    </w:p>
    <w:tbl>
      <w:tblPr>
        <w:tblW w:type="auto" w:w="0"/>
        <w:jc w:val="center"/>
        <w:tblLayout w:type="fixed"/>
        <w:tblLook w:firstColumn="1" w:firstRow="1" w:lastColumn="0" w:lastRow="0" w:noHBand="0" w:noVBand="1" w:val="04A0"/>
      </w:tblPr>
      <w:tblGrid>
        <w:gridCol w:w="1656"/>
        <w:gridCol w:w="8568"/>
      </w:tblGrid>
      <w:tr>
        <w:trPr>
          <w:tblHeader w:val="true"/>
        </w:trPr>
        <w:tc>
          <w:tcPr>
            <w:tcW w:type="dxa" w:w="5112"/>
            <w:shd w:fill="DDE6FF"/>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Sections</w:t>
            </w:r>
          </w:p>
        </w:tc>
        <w:tc>
          <w:tcPr>
            <w:tcW w:type="dxa" w:w="5112"/>
            <w:shd w:fill="DDE6FF"/>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Topics</w:t>
            </w:r>
          </w:p>
        </w:tc>
      </w:tr>
      <w:tr>
        <w:trPr>
          <w:cantSplit/>
        </w:trPr>
        <w:tc>
          <w:tcPr>
            <w:tcW w:type="dxa" w:w="1656"/>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01-04</w:t>
            </w:r>
          </w:p>
        </w:tc>
        <w:tc>
          <w:tcPr>
            <w:tcW w:type="dxa" w:w="8568"/>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Executive summary, problem, product vision, learning model</w:t>
            </w:r>
          </w:p>
        </w:tc>
      </w:tr>
      <w:tr>
        <w:trPr>
          <w:cantSplit/>
        </w:trPr>
        <w:tc>
          <w:tcPr>
            <w:tcW w:type="dxa" w:w="1656"/>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05-08</w:t>
            </w:r>
          </w:p>
        </w:tc>
        <w:tc>
          <w:tcPr>
            <w:tcW w:type="dxa" w:w="8568"/>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Solana Devnet, architecture, evidence model, data security</w:t>
            </w:r>
          </w:p>
        </w:tc>
      </w:tr>
      <w:tr>
        <w:trPr>
          <w:cantSplit/>
        </w:trPr>
        <w:tc>
          <w:tcPr>
            <w:tcW w:type="dxa" w:w="1656"/>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09-12</w:t>
            </w:r>
          </w:p>
        </w:tc>
        <w:tc>
          <w:tcPr>
            <w:tcW w:type="dxa" w:w="8568"/>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AI governance, accessibility, business model, measurement</w:t>
            </w:r>
          </w:p>
        </w:tc>
      </w:tr>
      <w:tr>
        <w:trPr>
          <w:cantSplit/>
        </w:trPr>
        <w:tc>
          <w:tcPr>
            <w:tcW w:type="dxa" w:w="1656"/>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13-16</w:t>
            </w:r>
          </w:p>
        </w:tc>
        <w:tc>
          <w:tcPr>
            <w:tcW w:type="dxa" w:w="8568"/>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Roadmap, risk register, team, conclusions</w:t>
            </w:r>
          </w:p>
        </w:tc>
      </w:tr>
      <w:tr>
        <w:trPr>
          <w:cantSplit/>
        </w:trPr>
        <w:tc>
          <w:tcPr>
            <w:tcW w:type="dxa" w:w="1656"/>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17</w:t>
            </w:r>
          </w:p>
        </w:tc>
        <w:tc>
          <w:tcPr>
            <w:tcW w:type="dxa" w:w="8568"/>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Sources and glossary</w:t>
            </w:r>
          </w:p>
        </w:tc>
      </w:tr>
    </w:tbl>
    <w:p>
      <w:pPr>
        <w:spacing w:after="0"/>
      </w:pPr>
    </w:p>
    <w:p>
      <w:r>
        <w:br w:type="page"/>
      </w:r>
    </w:p>
    <w:p>
      <w:pPr>
        <w:spacing w:after="60"/>
      </w:pPr>
      <w:r>
        <w:rPr>
          <w:rFonts w:ascii="Nunito" w:hAnsi="Nunito" w:eastAsia="Nunito"/>
          <w:b/>
          <w:color w:val="5B4BC4"/>
          <w:sz w:val="18"/>
        </w:rPr>
        <w:t>01  EXECUTIVE SUMMARY</w:t>
      </w:r>
    </w:p>
    <w:p>
      <w:pPr>
        <w:pStyle w:val="Heading1"/>
        <w:spacing w:after="100"/>
      </w:pPr>
      <w:r>
        <w:t>Turning knowledge into everyday action</w:t>
      </w:r>
    </w:p>
    <w:p>
      <w:pPr>
        <w:spacing w:after="180" w:line="259" w:lineRule="auto"/>
      </w:pPr>
      <w:r>
        <w:rPr>
          <w:rFonts w:ascii="Nunito" w:hAnsi="Nunito" w:eastAsia="Nunito"/>
          <w:b w:val="0"/>
          <w:color w:val="4A4560"/>
          <w:sz w:val="23"/>
        </w:rPr>
        <w:t>CoachFI AI turns complex financial topics into short, accessible, and measurable learning experiences. Mila, a clearly identified AI coach, explains one idea at a time, proposes one small action, and supports progress without pressure.</w:t>
      </w:r>
    </w:p>
    <w:p>
      <w:pPr>
        <w:pStyle w:val="Heading2"/>
      </w:pPr>
      <w:r>
        <w:t>Product thesis</w:t>
      </w:r>
    </w:p>
    <w:p>
      <w:r>
        <w:rPr>
          <w:rFonts w:ascii="Nunito" w:hAnsi="Nunito" w:eastAsia="Nunito"/>
          <w:color w:val="1E1B2E"/>
          <w:sz w:val="20"/>
        </w:rPr>
        <w:t>Information alone rarely changes behavior. A user needs a relevant explanation in plain language, a short practice task, a safe next action, and visible progress. CoachFI brings these elements together in a learning loop that works through voice and text.</w:t>
      </w:r>
    </w:p>
    <w:tbl>
      <w:tblPr>
        <w:tblW w:type="auto" w:w="0"/>
        <w:jc w:val="center"/>
        <w:tblLayout w:type="fixed"/>
        <w:tblLook w:firstColumn="1" w:firstRow="1" w:lastColumn="0" w:lastRow="0" w:noHBand="0" w:noVBand="1" w:val="04A0"/>
      </w:tblPr>
      <w:tblGrid>
        <w:gridCol w:w="2088"/>
        <w:gridCol w:w="8136"/>
      </w:tblGrid>
      <w:tr>
        <w:trPr>
          <w:tblHeader w:val="true"/>
        </w:trPr>
        <w:tc>
          <w:tcPr>
            <w:tcW w:type="dxa" w:w="5112"/>
            <w:shd w:fill="EBE1FF"/>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Value</w:t>
            </w:r>
          </w:p>
        </w:tc>
        <w:tc>
          <w:tcPr>
            <w:tcW w:type="dxa" w:w="5112"/>
            <w:shd w:fill="EBE1FF"/>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How CoachFI creates it</w:t>
            </w:r>
          </w:p>
        </w:tc>
      </w:tr>
      <w:tr>
        <w:trPr>
          <w:cantSplit/>
        </w:trPr>
        <w:tc>
          <w:tcPr>
            <w:tcW w:type="dxa" w:w="2088"/>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Understanding</w:t>
            </w:r>
          </w:p>
        </w:tc>
        <w:tc>
          <w:tcPr>
            <w:tcW w:type="dxa" w:w="8136"/>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A 20-40 second explanation, a money example, and a clear definition of the key term.</w:t>
            </w:r>
          </w:p>
        </w:tc>
      </w:tr>
      <w:tr>
        <w:trPr>
          <w:cantSplit/>
        </w:trPr>
        <w:tc>
          <w:tcPr>
            <w:tcW w:type="dxa" w:w="2088"/>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Action</w:t>
            </w:r>
          </w:p>
        </w:tc>
        <w:tc>
          <w:tcPr>
            <w:tcW w:type="dxa" w:w="8136"/>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One exercise or action for today, without shame, countdowns, or artificial urgency.</w:t>
            </w:r>
          </w:p>
        </w:tc>
      </w:tr>
      <w:tr>
        <w:trPr>
          <w:cantSplit/>
        </w:trPr>
        <w:tc>
          <w:tcPr>
            <w:tcW w:type="dxa" w:w="2088"/>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Proof of progress</w:t>
            </w:r>
          </w:p>
        </w:tc>
        <w:tc>
          <w:tcPr>
            <w:tcW w:type="dxa" w:w="8136"/>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Off-chain learning history and an optional achievement certificate on Devnet.</w:t>
            </w:r>
          </w:p>
        </w:tc>
      </w:tr>
      <w:tr>
        <w:trPr>
          <w:cantSplit/>
        </w:trPr>
        <w:tc>
          <w:tcPr>
            <w:tcW w:type="dxa" w:w="2088"/>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Trust</w:t>
            </w:r>
          </w:p>
        </w:tc>
        <w:tc>
          <w:tcPr>
            <w:tcW w:type="dxa" w:w="8136"/>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Sources, AI boundaries, data minimization, explicit blockchain consent, and release gates.</w:t>
            </w:r>
          </w:p>
        </w:tc>
      </w:tr>
    </w:tbl>
    <w:p>
      <w:pPr>
        <w:spacing w:after="0"/>
      </w:pPr>
    </w:p>
    <w:p>
      <w:pPr>
        <w:pStyle w:val="Heading2"/>
      </w:pPr>
      <w:r>
        <w:t>Current state on 13 October 2026</w:t>
      </w:r>
    </w:p>
    <w:p>
      <w:pPr>
        <w:pStyle w:val="ListBullet"/>
      </w:pPr>
      <w:r>
        <w:rPr>
          <w:rFonts w:ascii="Nunito" w:hAnsi="Nunito" w:eastAsia="Nunito"/>
          <w:color w:val="1E1B2E"/>
          <w:sz w:val="20"/>
        </w:rPr>
        <w:t>Public MVP for adults in the US, in English, with a free launch plan.</w:t>
      </w:r>
    </w:p>
    <w:p>
      <w:pPr>
        <w:pStyle w:val="ListBullet"/>
      </w:pPr>
      <w:r>
        <w:rPr>
          <w:rFonts w:ascii="Nunito" w:hAnsi="Nunito" w:eastAsia="Nunito"/>
          <w:color w:val="1E1B2E"/>
          <w:sz w:val="20"/>
        </w:rPr>
        <w:t>An operating Solana Devnet flow in Rewards, with an optional wallet and separate blockchain consent.</w:t>
      </w:r>
    </w:p>
    <w:p>
      <w:pPr>
        <w:pStyle w:val="ListBullet"/>
      </w:pPr>
      <w:r>
        <w:rPr>
          <w:rFonts w:ascii="Nunito" w:hAnsi="Nunito" w:eastAsia="Nunito"/>
          <w:color w:val="1E1B2E"/>
          <w:sz w:val="20"/>
        </w:rPr>
        <w:t>No CoachFI token, certificate sale, marketplace, or promise of financial return.</w:t>
      </w:r>
    </w:p>
    <w:p>
      <w:pPr>
        <w:pStyle w:val="ListBullet"/>
      </w:pPr>
      <w:r>
        <w:rPr>
          <w:rFonts w:ascii="Nunito" w:hAnsi="Nunito" w:eastAsia="Nunito"/>
          <w:color w:val="1E1B2E"/>
          <w:sz w:val="20"/>
        </w:rPr>
        <w:t>Teen, Kids, PL/EU, white-label, and mainnet remain controlled development stages.</w:t>
      </w:r>
    </w:p>
    <w:p>
      <w:r>
        <w:rPr>
          <w:rFonts w:ascii="Nunito" w:hAnsi="Nunito" w:eastAsia="Nunito"/>
          <w:color w:val="1E1B2E"/>
          <w:sz w:val="20"/>
        </w:rPr>
        <w:t>CoachFI supports financial agency. It does not replace a licensed professional or make financial decisions for the user.</w:t>
      </w:r>
    </w:p>
    <w:p>
      <w:r>
        <w:br w:type="page"/>
      </w:r>
    </w:p>
    <w:p>
      <w:pPr>
        <w:spacing w:after="60"/>
      </w:pPr>
      <w:r>
        <w:rPr>
          <w:rFonts w:ascii="Nunito" w:hAnsi="Nunito" w:eastAsia="Nunito"/>
          <w:b/>
          <w:color w:val="5B4BC4"/>
          <w:sz w:val="18"/>
        </w:rPr>
        <w:t>02  PROBLEM</w:t>
      </w:r>
    </w:p>
    <w:p>
      <w:pPr>
        <w:pStyle w:val="Heading1"/>
        <w:spacing w:after="100"/>
      </w:pPr>
      <w:r>
        <w:t>The gap extends beyond financial knowledge</w:t>
      </w:r>
    </w:p>
    <w:p>
      <w:pPr>
        <w:spacing w:after="180" w:line="259" w:lineRule="auto"/>
      </w:pPr>
      <w:r>
        <w:rPr>
          <w:rFonts w:ascii="Nunito" w:hAnsi="Nunito" w:eastAsia="Nunito"/>
          <w:b w:val="0"/>
          <w:color w:val="4A4560"/>
          <w:sz w:val="23"/>
        </w:rPr>
        <w:t>European Commission research points to both a knowledge gap and limited household resilience. In the 2023 Eurobarometer, 18% of EU citizens scored high on financial literacy and 18% scored low [1]. The 2025 EU strategy states that 49% of people aged 18-65 do not have enough emergency savings for three months [2].</w:t>
      </w:r>
    </w:p>
    <w:tbl>
      <w:tblPr>
        <w:tblW w:type="auto" w:w="0"/>
        <w:jc w:val="center"/>
        <w:tblLayout w:type="fixed"/>
        <w:tblLook w:firstColumn="1" w:firstRow="1" w:lastColumn="0" w:lastRow="0" w:noHBand="0" w:noVBand="1" w:val="04A0"/>
      </w:tblPr>
      <w:tblGrid>
        <w:gridCol w:w="3240"/>
        <w:gridCol w:w="6984"/>
      </w:tblGrid>
      <w:tr>
        <w:trPr>
          <w:tblHeader w:val="true"/>
        </w:trPr>
        <w:tc>
          <w:tcPr>
            <w:tcW w:type="dxa" w:w="5112"/>
            <w:shd w:fill="FFE1D1"/>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Signal</w:t>
            </w:r>
          </w:p>
        </w:tc>
        <w:tc>
          <w:tcPr>
            <w:tcW w:type="dxa" w:w="5112"/>
            <w:shd w:fill="FFE1D1"/>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Product implication</w:t>
            </w:r>
          </w:p>
        </w:tc>
      </w:tr>
      <w:tr>
        <w:trPr>
          <w:cantSplit/>
        </w:trPr>
        <w:tc>
          <w:tcPr>
            <w:tcW w:type="dxa" w:w="3240"/>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18% with high financial literacy</w:t>
            </w:r>
          </w:p>
        </w:tc>
        <w:tc>
          <w:tcPr>
            <w:tcW w:type="dxa" w:w="6984"/>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Education must be practical, repeatable, and easy to understand rather than a one-time content event.</w:t>
            </w:r>
          </w:p>
        </w:tc>
      </w:tr>
      <w:tr>
        <w:trPr>
          <w:cantSplit/>
        </w:trPr>
        <w:tc>
          <w:tcPr>
            <w:tcW w:type="dxa" w:w="3240"/>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49% without a three-month buffer</w:t>
            </w:r>
          </w:p>
        </w:tc>
        <w:tc>
          <w:tcPr>
            <w:tcW w:type="dxa" w:w="6984"/>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Early learning paths should focus on financial safety and habits rather than speculation.</w:t>
            </w:r>
          </w:p>
        </w:tc>
      </w:tr>
      <w:tr>
        <w:trPr>
          <w:cantSplit/>
        </w:trPr>
        <w:tc>
          <w:tcPr>
            <w:tcW w:type="dxa" w:w="3240"/>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High cost of attention</w:t>
            </w:r>
          </w:p>
        </w:tc>
        <w:tc>
          <w:tcPr>
            <w:tcW w:type="dxa" w:w="6984"/>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Sessions need to be short, end with one action, and remain usable through voice.</w:t>
            </w:r>
          </w:p>
        </w:tc>
      </w:tr>
      <w:tr>
        <w:trPr>
          <w:cantSplit/>
        </w:trPr>
        <w:tc>
          <w:tcPr>
            <w:tcW w:type="dxa" w:w="3240"/>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Unequal access</w:t>
            </w:r>
          </w:p>
        </w:tc>
        <w:tc>
          <w:tcPr>
            <w:tcW w:type="dxa" w:w="6984"/>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Text, transcripts, keyboard navigation, screen readers, and reduced motion belong in the product core.</w:t>
            </w:r>
          </w:p>
        </w:tc>
      </w:tr>
    </w:tbl>
    <w:p>
      <w:pPr>
        <w:spacing w:after="0"/>
      </w:pPr>
    </w:p>
    <w:p>
      <w:pPr>
        <w:pStyle w:val="Heading2"/>
      </w:pPr>
      <w:r>
        <w:t>Product boundaries</w:t>
      </w:r>
    </w:p>
    <w:p>
      <w:pPr>
        <w:pStyle w:val="ListBullet"/>
      </w:pPr>
      <w:r>
        <w:rPr>
          <w:rFonts w:ascii="Nunito" w:hAnsi="Nunito" w:eastAsia="Nunito"/>
          <w:color w:val="1E1B2E"/>
          <w:sz w:val="20"/>
        </w:rPr>
        <w:t>No streak penalties, loss mechanics, or guilt for taking a break.</w:t>
      </w:r>
    </w:p>
    <w:p>
      <w:pPr>
        <w:pStyle w:val="ListBullet"/>
      </w:pPr>
      <w:r>
        <w:rPr>
          <w:rFonts w:ascii="Nunito" w:hAnsi="Nunito" w:eastAsia="Nunito"/>
          <w:color w:val="1E1B2E"/>
          <w:sz w:val="20"/>
        </w:rPr>
        <w:t>No promotion of leverage, futures, speculation, or rapid wealth claims.</w:t>
      </w:r>
    </w:p>
    <w:p>
      <w:pPr>
        <w:pStyle w:val="ListBullet"/>
      </w:pPr>
      <w:r>
        <w:rPr>
          <w:rFonts w:ascii="Nunito" w:hAnsi="Nunito" w:eastAsia="Nunito"/>
          <w:color w:val="1E1B2E"/>
          <w:sz w:val="20"/>
        </w:rPr>
        <w:t>No product ranking based on sponsor commission.</w:t>
      </w:r>
    </w:p>
    <w:p>
      <w:pPr>
        <w:pStyle w:val="ListBullet"/>
      </w:pPr>
      <w:r>
        <w:rPr>
          <w:rFonts w:ascii="Nunito" w:hAnsi="Nunito" w:eastAsia="Nunito"/>
          <w:color w:val="1E1B2E"/>
          <w:sz w:val="20"/>
        </w:rPr>
        <w:t>No publication of private financial history on a blockchain.</w:t>
      </w:r>
    </w:p>
    <w:p>
      <w:pPr>
        <w:pStyle w:val="Heading2"/>
      </w:pPr>
      <w:r>
        <w:t>Opportunity</w:t>
      </w:r>
    </w:p>
    <w:p>
      <w:r>
        <w:rPr>
          <w:rFonts w:ascii="Nunito" w:hAnsi="Nunito" w:eastAsia="Nunito"/>
          <w:color w:val="1E1B2E"/>
          <w:sz w:val="20"/>
        </w:rPr>
        <w:t>CoachFI can serve consumers directly and provide a white-label learning module for partners. The durable advantage should come from the quality of the learning loop, accessibility, and verifiable achievement. Blockchain is a supporting layer, not the purpose of the product.</w:t>
      </w:r>
    </w:p>
    <w:p>
      <w:r>
        <w:br w:type="page"/>
      </w:r>
    </w:p>
    <w:p>
      <w:pPr>
        <w:spacing w:after="60"/>
      </w:pPr>
      <w:r>
        <w:rPr>
          <w:rFonts w:ascii="Nunito" w:hAnsi="Nunito" w:eastAsia="Nunito"/>
          <w:b/>
          <w:color w:val="5B4BC4"/>
          <w:sz w:val="18"/>
        </w:rPr>
        <w:t>03  PRODUCT VISION</w:t>
      </w:r>
    </w:p>
    <w:p>
      <w:pPr>
        <w:pStyle w:val="Heading1"/>
        <w:spacing w:after="100"/>
      </w:pPr>
      <w:r>
        <w:t>Mila guides and the user decides</w:t>
      </w:r>
    </w:p>
    <w:p>
      <w:pPr>
        <w:spacing w:after="180" w:line="259" w:lineRule="auto"/>
      </w:pPr>
      <w:r>
        <w:rPr>
          <w:rFonts w:ascii="Nunito" w:hAnsi="Nunito" w:eastAsia="Nunito"/>
          <w:b w:val="0"/>
          <w:color w:val="4A4560"/>
          <w:sz w:val="23"/>
        </w:rPr>
        <w:t>Mila is a warm, plain-speaking AI financial coach. She always identifies herself as AI. Users can speak or type, and every spoken message has a text equivalent.</w:t>
      </w:r>
    </w:p>
    <w:tbl>
      <w:tblPr>
        <w:tblW w:type="auto" w:w="0"/>
        <w:jc w:val="center"/>
        <w:tblLayout w:type="fixed"/>
        <w:tblLook w:firstColumn="1" w:firstRow="1" w:lastColumn="0" w:lastRow="0" w:noHBand="0" w:noVBand="1" w:val="04A0"/>
      </w:tblPr>
      <w:tblGrid>
        <w:gridCol w:w="1800"/>
        <w:gridCol w:w="8424"/>
      </w:tblGrid>
      <w:tr>
        <w:trPr>
          <w:tblHeader w:val="true"/>
        </w:trPr>
        <w:tc>
          <w:tcPr>
            <w:tcW w:type="dxa" w:w="5112"/>
            <w:shd w:fill="EBE1FF"/>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Moment</w:t>
            </w:r>
          </w:p>
        </w:tc>
        <w:tc>
          <w:tcPr>
            <w:tcW w:type="dxa" w:w="5112"/>
            <w:shd w:fill="EBE1FF"/>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Experience</w:t>
            </w:r>
          </w:p>
        </w:tc>
      </w:tr>
      <w:tr>
        <w:trPr>
          <w:cantSplit/>
        </w:trPr>
        <w:tc>
          <w:tcPr>
            <w:tcW w:type="dxa" w:w="1800"/>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Ask</w:t>
            </w:r>
          </w:p>
        </w:tc>
        <w:tc>
          <w:tcPr>
            <w:tcW w:type="dxa" w:w="8424"/>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The user describes a problem in their own words or selects a topic from a learning path.</w:t>
            </w:r>
          </w:p>
        </w:tc>
      </w:tr>
      <w:tr>
        <w:trPr>
          <w:cantSplit/>
        </w:trPr>
        <w:tc>
          <w:tcPr>
            <w:tcW w:type="dxa" w:w="1800"/>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Understand</w:t>
            </w:r>
          </w:p>
        </w:tc>
        <w:tc>
          <w:tcPr>
            <w:tcW w:type="dxa" w:w="8424"/>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Mila gives one explanation, one example, and a plain-language definition.</w:t>
            </w:r>
          </w:p>
        </w:tc>
      </w:tr>
      <w:tr>
        <w:trPr>
          <w:cantSplit/>
        </w:trPr>
        <w:tc>
          <w:tcPr>
            <w:tcW w:type="dxa" w:w="1800"/>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Practice</w:t>
            </w:r>
          </w:p>
        </w:tc>
        <w:tc>
          <w:tcPr>
            <w:tcW w:type="dxa" w:w="8424"/>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A short quiz, scenario, or choice checks understanding.</w:t>
            </w:r>
          </w:p>
        </w:tc>
      </w:tr>
      <w:tr>
        <w:trPr>
          <w:cantSplit/>
        </w:trPr>
        <w:tc>
          <w:tcPr>
            <w:tcW w:type="dxa" w:w="1800"/>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Take one step</w:t>
            </w:r>
          </w:p>
        </w:tc>
        <w:tc>
          <w:tcPr>
            <w:tcW w:type="dxa" w:w="8424"/>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One small action that can be completed today without connecting a bank account.</w:t>
            </w:r>
          </w:p>
        </w:tc>
      </w:tr>
      <w:tr>
        <w:trPr>
          <w:cantSplit/>
        </w:trPr>
        <w:tc>
          <w:tcPr>
            <w:tcW w:type="dxa" w:w="1800"/>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See progress</w:t>
            </w:r>
          </w:p>
        </w:tc>
        <w:tc>
          <w:tcPr>
            <w:tcW w:type="dxa" w:w="8424"/>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The product shows milestones and can offer an optional achievement certificate.</w:t>
            </w:r>
          </w:p>
        </w:tc>
      </w:tr>
    </w:tbl>
    <w:p>
      <w:pPr>
        <w:spacing w:after="0"/>
      </w:pPr>
    </w:p>
    <w:p>
      <w:pPr>
        <w:pStyle w:val="Heading2"/>
      </w:pPr>
      <w:r>
        <w:t>Core modules</w:t>
      </w:r>
    </w:p>
    <w:p>
      <w:pPr>
        <w:pStyle w:val="ListBullet"/>
      </w:pPr>
      <w:r>
        <w:rPr>
          <w:rFonts w:ascii="Nunito" w:hAnsi="Nunito" w:eastAsia="Nunito"/>
          <w:color w:val="1E1B2E"/>
          <w:sz w:val="20"/>
        </w:rPr>
        <w:t>Onboarding with goal selection and the option to skip questions.</w:t>
      </w:r>
    </w:p>
    <w:p>
      <w:pPr>
        <w:pStyle w:val="ListBullet"/>
      </w:pPr>
      <w:r>
        <w:rPr>
          <w:rFonts w:ascii="Nunito" w:hAnsi="Nunito" w:eastAsia="Nunito"/>
          <w:color w:val="1E1B2E"/>
          <w:sz w:val="20"/>
        </w:rPr>
        <w:t>Money Health Check based on educational answers, not a credit score.</w:t>
      </w:r>
    </w:p>
    <w:p>
      <w:pPr>
        <w:pStyle w:val="ListBullet"/>
      </w:pPr>
      <w:r>
        <w:rPr>
          <w:rFonts w:ascii="Nunito" w:hAnsi="Nunito" w:eastAsia="Nunito"/>
          <w:color w:val="1E1B2E"/>
          <w:sz w:val="20"/>
        </w:rPr>
        <w:t>Today with one priority action and a low-pressure weekly review.</w:t>
      </w:r>
    </w:p>
    <w:p>
      <w:pPr>
        <w:pStyle w:val="ListBullet"/>
      </w:pPr>
      <w:r>
        <w:rPr>
          <w:rFonts w:ascii="Nunito" w:hAnsi="Nunito" w:eastAsia="Nunito"/>
          <w:color w:val="1E1B2E"/>
          <w:sz w:val="20"/>
        </w:rPr>
        <w:t>Learn with short lessons, quizzes, scenarios, and transcripts.</w:t>
      </w:r>
    </w:p>
    <w:p>
      <w:pPr>
        <w:pStyle w:val="ListBullet"/>
      </w:pPr>
      <w:r>
        <w:rPr>
          <w:rFonts w:ascii="Nunito" w:hAnsi="Nunito" w:eastAsia="Nunito"/>
          <w:color w:val="1E1B2E"/>
          <w:sz w:val="20"/>
        </w:rPr>
        <w:t>Goals with routines, milestones, and progress history.</w:t>
      </w:r>
    </w:p>
    <w:p>
      <w:pPr>
        <w:pStyle w:val="ListBullet"/>
      </w:pPr>
      <w:r>
        <w:rPr>
          <w:rFonts w:ascii="Nunito" w:hAnsi="Nunito" w:eastAsia="Nunito"/>
          <w:color w:val="1E1B2E"/>
          <w:sz w:val="20"/>
        </w:rPr>
        <w:t>Rewards with demo points and optional Solana Devnet certificates.</w:t>
      </w:r>
    </w:p>
    <w:p>
      <w:r>
        <w:rPr>
          <w:rFonts w:ascii="Nunito" w:hAnsi="Nunito" w:eastAsia="Nunito"/>
          <w:color w:val="1E1B2E"/>
          <w:sz w:val="20"/>
        </w:rPr>
        <w:t>The interface follows one rule: one primary next step per screen. Other information provides context without competing for attention.</w:t>
      </w:r>
    </w:p>
    <w:p>
      <w:r>
        <w:br w:type="page"/>
      </w:r>
    </w:p>
    <w:p>
      <w:pPr>
        <w:spacing w:after="60"/>
      </w:pPr>
      <w:r>
        <w:rPr>
          <w:rFonts w:ascii="Nunito" w:hAnsi="Nunito" w:eastAsia="Nunito"/>
          <w:b/>
          <w:color w:val="5B4BC4"/>
          <w:sz w:val="18"/>
        </w:rPr>
        <w:t>04  LEARNING MODEL</w:t>
      </w:r>
    </w:p>
    <w:p>
      <w:pPr>
        <w:pStyle w:val="Heading1"/>
        <w:spacing w:after="100"/>
      </w:pPr>
      <w:r>
        <w:t>A learning loop that ends in action</w:t>
      </w:r>
    </w:p>
    <w:p>
      <w:pPr>
        <w:spacing w:after="180" w:line="259" w:lineRule="auto"/>
      </w:pPr>
      <w:r>
        <w:rPr>
          <w:rFonts w:ascii="Nunito" w:hAnsi="Nunito" w:eastAsia="Nunito"/>
          <w:b w:val="0"/>
          <w:color w:val="4A4560"/>
          <w:sz w:val="23"/>
        </w:rPr>
        <w:t>CoachFI separates information, proof of understanding, and action. Listening to a lesson by itself is not enough to qualify for a certificate.</w:t>
      </w:r>
    </w:p>
    <w:tbl>
      <w:tblPr>
        <w:tblW w:type="auto" w:w="0"/>
        <w:jc w:val="center"/>
        <w:tblLayout w:type="fixed"/>
        <w:tblLook w:firstColumn="1" w:firstRow="1" w:lastColumn="0" w:lastRow="0" w:noHBand="0" w:noVBand="1" w:val="04A0"/>
      </w:tblPr>
      <w:tblGrid>
        <w:gridCol w:w="1440"/>
        <w:gridCol w:w="3168"/>
        <w:gridCol w:w="5616"/>
      </w:tblGrid>
      <w:tr>
        <w:trPr>
          <w:tblHeader w:val="true"/>
        </w:trPr>
        <w:tc>
          <w:tcPr>
            <w:tcW w:type="dxa" w:w="3408"/>
            <w:shd w:fill="D5F3E5"/>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Stage</w:t>
            </w:r>
          </w:p>
        </w:tc>
        <w:tc>
          <w:tcPr>
            <w:tcW w:type="dxa" w:w="3408"/>
            <w:shd w:fill="D5F3E5"/>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Mechanism</w:t>
            </w:r>
          </w:p>
        </w:tc>
        <w:tc>
          <w:tcPr>
            <w:tcW w:type="dxa" w:w="3408"/>
            <w:shd w:fill="D5F3E5"/>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Evidence</w:t>
            </w:r>
          </w:p>
        </w:tc>
      </w:tr>
      <w:tr>
        <w:trPr>
          <w:cantSplit/>
        </w:trPr>
        <w:tc>
          <w:tcPr>
            <w:tcW w:type="dxa" w:w="1440"/>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1  Context</w:t>
            </w:r>
          </w:p>
        </w:tc>
        <w:tc>
          <w:tcPr>
            <w:tcW w:type="dxa" w:w="3168"/>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A user question or goal</w:t>
            </w:r>
          </w:p>
        </w:tc>
        <w:tc>
          <w:tcPr>
            <w:tcW w:type="dxa" w:w="5616"/>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Selected topic and the minimum necessary data</w:t>
            </w:r>
          </w:p>
        </w:tc>
      </w:tr>
      <w:tr>
        <w:trPr>
          <w:cantSplit/>
        </w:trPr>
        <w:tc>
          <w:tcPr>
            <w:tcW w:type="dxa" w:w="1440"/>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2  Explanation</w:t>
            </w:r>
          </w:p>
        </w:tc>
        <w:tc>
          <w:tcPr>
            <w:tcW w:type="dxa" w:w="3168"/>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A short Mila response</w:t>
            </w:r>
          </w:p>
        </w:tc>
        <w:tc>
          <w:tcPr>
            <w:tcW w:type="dxa" w:w="5616"/>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Knowledge card and review date</w:t>
            </w:r>
          </w:p>
        </w:tc>
      </w:tr>
      <w:tr>
        <w:trPr>
          <w:cantSplit/>
        </w:trPr>
        <w:tc>
          <w:tcPr>
            <w:tcW w:type="dxa" w:w="1440"/>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3  Practice</w:t>
            </w:r>
          </w:p>
        </w:tc>
        <w:tc>
          <w:tcPr>
            <w:tcW w:type="dxa" w:w="3168"/>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Quiz or scenario</w:t>
            </w:r>
          </w:p>
        </w:tc>
        <w:tc>
          <w:tcPr>
            <w:tcW w:type="dxa" w:w="5616"/>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Off-chain result and completion rule</w:t>
            </w:r>
          </w:p>
        </w:tc>
      </w:tr>
      <w:tr>
        <w:trPr>
          <w:cantSplit/>
        </w:trPr>
        <w:tc>
          <w:tcPr>
            <w:tcW w:type="dxa" w:w="1440"/>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4  Small action</w:t>
            </w:r>
          </w:p>
        </w:tc>
        <w:tc>
          <w:tcPr>
            <w:tcW w:type="dxa" w:w="3168"/>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One action for today</w:t>
            </w:r>
          </w:p>
        </w:tc>
        <w:tc>
          <w:tcPr>
            <w:tcW w:type="dxa" w:w="5616"/>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User confirmation or local completion status</w:t>
            </w:r>
          </w:p>
        </w:tc>
      </w:tr>
      <w:tr>
        <w:trPr>
          <w:cantSplit/>
        </w:trPr>
        <w:tc>
          <w:tcPr>
            <w:tcW w:type="dxa" w:w="1440"/>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5  Progress</w:t>
            </w:r>
          </w:p>
        </w:tc>
        <w:tc>
          <w:tcPr>
            <w:tcW w:type="dxa" w:w="3168"/>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Milestone</w:t>
            </w:r>
          </w:p>
        </w:tc>
        <w:tc>
          <w:tcPr>
            <w:tcW w:type="dxa" w:w="5616"/>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Learning history and optional certificate eligibility</w:t>
            </w:r>
          </w:p>
        </w:tc>
      </w:tr>
      <w:tr>
        <w:trPr>
          <w:cantSplit/>
        </w:trPr>
        <w:tc>
          <w:tcPr>
            <w:tcW w:type="dxa" w:w="1440"/>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6  Reinforcement</w:t>
            </w:r>
          </w:p>
        </w:tc>
        <w:tc>
          <w:tcPr>
            <w:tcW w:type="dxa" w:w="3168"/>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Spaced review</w:t>
            </w:r>
          </w:p>
        </w:tc>
        <w:tc>
          <w:tcPr>
            <w:tcW w:type="dxa" w:w="5616"/>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Knowledge retention and a later check</w:t>
            </w:r>
          </w:p>
        </w:tc>
      </w:tr>
    </w:tbl>
    <w:p>
      <w:pPr>
        <w:spacing w:after="0"/>
      </w:pPr>
    </w:p>
    <w:p>
      <w:pPr>
        <w:pStyle w:val="Heading2"/>
      </w:pPr>
      <w:r>
        <w:t>Knowledge architecture</w:t>
      </w:r>
    </w:p>
    <w:p>
      <w:r>
        <w:rPr>
          <w:rFonts w:ascii="Nunito" w:hAnsi="Nunito" w:eastAsia="Nunito"/>
          <w:color w:val="1E1B2E"/>
          <w:sz w:val="20"/>
        </w:rPr>
        <w:t>Content should be maintained as versioned knowledge cards. Each card records the claim, primary source, jurisdiction, audience, review date, risk level, and approved answer boundary. The AI uses reviewed context instead of an unrestricted knowledge source.</w:t>
      </w:r>
    </w:p>
    <w:p>
      <w:pPr>
        <w:pStyle w:val="ListBullet"/>
      </w:pPr>
      <w:r>
        <w:rPr>
          <w:rFonts w:ascii="Nunito" w:hAnsi="Nunito" w:eastAsia="Nunito"/>
          <w:color w:val="1E1B2E"/>
          <w:sz w:val="20"/>
        </w:rPr>
        <w:t>High-risk content requires human review before publication.</w:t>
      </w:r>
    </w:p>
    <w:p>
      <w:pPr>
        <w:pStyle w:val="ListBullet"/>
      </w:pPr>
      <w:r>
        <w:rPr>
          <w:rFonts w:ascii="Nunito" w:hAnsi="Nunito" w:eastAsia="Nunito"/>
          <w:color w:val="1E1B2E"/>
          <w:sz w:val="20"/>
        </w:rPr>
        <w:t>A change in law or source triggers a new review rather than a silent update.</w:t>
      </w:r>
    </w:p>
    <w:p>
      <w:pPr>
        <w:pStyle w:val="ListBullet"/>
      </w:pPr>
      <w:r>
        <w:rPr>
          <w:rFonts w:ascii="Nunito" w:hAnsi="Nunito" w:eastAsia="Nunito"/>
          <w:color w:val="1E1B2E"/>
          <w:sz w:val="20"/>
        </w:rPr>
        <w:t>Quizzes measure understanding of the lesson, not wealth or creditworthiness.</w:t>
      </w:r>
    </w:p>
    <w:p>
      <w:pPr>
        <w:pStyle w:val="ListBullet"/>
      </w:pPr>
      <w:r>
        <w:rPr>
          <w:rFonts w:ascii="Nunito" w:hAnsi="Nunito" w:eastAsia="Nunito"/>
          <w:color w:val="1E1B2E"/>
          <w:sz w:val="20"/>
        </w:rPr>
        <w:t>Users can see why they received an answer and report a mistake.</w:t>
      </w:r>
    </w:p>
    <w:p>
      <w:r>
        <w:br w:type="page"/>
      </w:r>
    </w:p>
    <w:p>
      <w:pPr>
        <w:spacing w:after="60"/>
      </w:pPr>
      <w:r>
        <w:rPr>
          <w:rFonts w:ascii="Nunito" w:hAnsi="Nunito" w:eastAsia="Nunito"/>
          <w:b/>
          <w:color w:val="5B4BC4"/>
          <w:sz w:val="18"/>
        </w:rPr>
        <w:t>05  SOLANA DEVNET</w:t>
      </w:r>
    </w:p>
    <w:p>
      <w:pPr>
        <w:pStyle w:val="Heading1"/>
        <w:spacing w:after="100"/>
      </w:pPr>
      <w:r>
        <w:t>An operating flow with a clear evidence status</w:t>
      </w:r>
    </w:p>
    <w:p>
      <w:pPr>
        <w:spacing w:after="180" w:line="259" w:lineRule="auto"/>
      </w:pPr>
      <w:r>
        <w:rPr>
          <w:rFonts w:ascii="Nunito" w:hAnsi="Nunito" w:eastAsia="Nunito"/>
          <w:b w:val="0"/>
          <w:color w:val="4A4560"/>
          <w:sz w:val="23"/>
        </w:rPr>
        <w:t>CoachFI provides an operating Solana Devnet flow in the public MVP. The Rewards page describes points earned through learning, an optional wallet connection, blockchain consent, and certificate minting on Devnet [4].</w:t>
      </w:r>
    </w:p>
    <w:tbl>
      <w:tblPr>
        <w:tblW w:type="auto" w:w="0"/>
        <w:jc w:val="center"/>
        <w:tblLayout w:type="fixed"/>
        <w:tblLook w:firstColumn="1" w:firstRow="1" w:lastColumn="0" w:lastRow="0" w:noHBand="0" w:noVBand="1" w:val="04A0"/>
      </w:tblPr>
      <w:tblGrid>
        <w:gridCol w:w="1872"/>
        <w:gridCol w:w="3528"/>
        <w:gridCol w:w="4824"/>
      </w:tblGrid>
      <w:tr>
        <w:trPr>
          <w:tblHeader w:val="true"/>
        </w:trPr>
        <w:tc>
          <w:tcPr>
            <w:tcW w:type="dxa" w:w="3408"/>
            <w:shd w:fill="FFF0BF"/>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Level</w:t>
            </w:r>
          </w:p>
        </w:tc>
        <w:tc>
          <w:tcPr>
            <w:tcW w:type="dxa" w:w="3408"/>
            <w:shd w:fill="FFF0BF"/>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Status on 13 October 2026</w:t>
            </w:r>
          </w:p>
        </w:tc>
        <w:tc>
          <w:tcPr>
            <w:tcW w:type="dxa" w:w="3408"/>
            <w:shd w:fill="FFF0BF"/>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What can be checked</w:t>
            </w:r>
          </w:p>
        </w:tc>
      </w:tr>
      <w:tr>
        <w:trPr>
          <w:cantSplit/>
        </w:trPr>
        <w:tc>
          <w:tcPr>
            <w:tcW w:type="dxa" w:w="1872"/>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Product</w:t>
            </w:r>
          </w:p>
        </w:tc>
        <w:tc>
          <w:tcPr>
            <w:tcW w:type="dxa" w:w="3528"/>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OPERATING</w:t>
            </w:r>
          </w:p>
        </w:tc>
        <w:tc>
          <w:tcPr>
            <w:tcW w:type="dxa" w:w="4824"/>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Public Rewards page, certificate states, mint action, and consent copy.</w:t>
            </w:r>
          </w:p>
        </w:tc>
      </w:tr>
      <w:tr>
        <w:trPr>
          <w:cantSplit/>
        </w:trPr>
        <w:tc>
          <w:tcPr>
            <w:tcW w:type="dxa" w:w="1872"/>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Devnet flow</w:t>
            </w:r>
          </w:p>
        </w:tc>
        <w:tc>
          <w:tcPr>
            <w:tcW w:type="dxa" w:w="3528"/>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OPERATING - confirmed by the project owner</w:t>
            </w:r>
          </w:p>
        </w:tc>
        <w:tc>
          <w:tcPr>
            <w:tcW w:type="dxa" w:w="4824"/>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Devnet wallet, eligibility, consent, and the mint action.</w:t>
            </w:r>
          </w:p>
        </w:tc>
      </w:tr>
      <w:tr>
        <w:trPr>
          <w:cantSplit/>
        </w:trPr>
        <w:tc>
          <w:tcPr>
            <w:tcW w:type="dxa" w:w="1872"/>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Specific mint</w:t>
            </w:r>
          </w:p>
        </w:tc>
        <w:tc>
          <w:tcPr>
            <w:tcW w:type="dxa" w:w="3528"/>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EVIDENCE REGISTER ENTRY PENDING</w:t>
            </w:r>
          </w:p>
        </w:tc>
        <w:tc>
          <w:tcPr>
            <w:tcW w:type="dxa" w:w="4824"/>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Transaction signature, asset address, owner, metadata URI or hash, program or standard, and transfer test.</w:t>
            </w:r>
          </w:p>
        </w:tc>
      </w:tr>
    </w:tbl>
    <w:p>
      <w:pPr>
        <w:spacing w:after="0"/>
      </w:pPr>
    </w:p>
    <w:p>
      <w:pPr>
        <w:pStyle w:val="Heading2"/>
      </w:pPr>
      <w:r>
        <w:t>Why the distinction matters</w:t>
      </w:r>
    </w:p>
    <w:p>
      <w:r>
        <w:rPr>
          <w:rFonts w:ascii="Nunito" w:hAnsi="Nunito" w:eastAsia="Nunito"/>
          <w:color w:val="1E1B2E"/>
          <w:sz w:val="20"/>
        </w:rPr>
        <w:t>Solana Devnet is a development network. Test tokens have no value, and public RPC endpoints are shared and not intended for production traffic [5][6]. An operating interface and flow are valid product evidence. Independent verification of a named mint begins with identifiers that another person can reproduce in Explorer.</w:t>
      </w:r>
    </w:p>
    <w:p>
      <w:pPr>
        <w:pStyle w:val="Heading2"/>
      </w:pPr>
      <w:r>
        <w:t>Certificate rules</w:t>
      </w:r>
    </w:p>
    <w:p>
      <w:pPr>
        <w:pStyle w:val="ListBullet"/>
      </w:pPr>
      <w:r>
        <w:rPr>
          <w:rFonts w:ascii="Nunito" w:hAnsi="Nunito" w:eastAsia="Nunito"/>
          <w:color w:val="1E1B2E"/>
          <w:sz w:val="20"/>
        </w:rPr>
        <w:t>The certificate records completion of a learning path. It does not prove profit, financial capacity, or a professional qualification.</w:t>
      </w:r>
    </w:p>
    <w:p>
      <w:pPr>
        <w:pStyle w:val="ListBullet"/>
      </w:pPr>
      <w:r>
        <w:rPr>
          <w:rFonts w:ascii="Nunito" w:hAnsi="Nunito" w:eastAsia="Nunito"/>
          <w:color w:val="1E1B2E"/>
          <w:sz w:val="20"/>
        </w:rPr>
        <w:t>A wallet is optional for ordinary learning, and blockchain consent is a separate choice.</w:t>
      </w:r>
    </w:p>
    <w:p>
      <w:pPr>
        <w:pStyle w:val="ListBullet"/>
      </w:pPr>
      <w:r>
        <w:rPr>
          <w:rFonts w:ascii="Nunito" w:hAnsi="Nunito" w:eastAsia="Nunito"/>
          <w:color w:val="1E1B2E"/>
          <w:sz w:val="20"/>
        </w:rPr>
        <w:t>Private answers, scores, and financial details remain off-chain.</w:t>
      </w:r>
    </w:p>
    <w:p>
      <w:pPr>
        <w:pStyle w:val="ListBullet"/>
      </w:pPr>
      <w:r>
        <w:rPr>
          <w:rFonts w:ascii="Nunito" w:hAnsi="Nunito" w:eastAsia="Nunito"/>
          <w:color w:val="1E1B2E"/>
          <w:sz w:val="20"/>
        </w:rPr>
        <w:t>The document does not use the terms soulbound, non-transferable, or Metaplex Core deployed until technical evidence supports them.</w:t>
      </w:r>
    </w:p>
    <w:p>
      <w:r>
        <w:br w:type="page"/>
      </w:r>
    </w:p>
    <w:p>
      <w:pPr>
        <w:spacing w:after="60"/>
      </w:pPr>
      <w:r>
        <w:rPr>
          <w:rFonts w:ascii="Nunito" w:hAnsi="Nunito" w:eastAsia="Nunito"/>
          <w:b/>
          <w:color w:val="5B4BC4"/>
          <w:sz w:val="18"/>
        </w:rPr>
        <w:t>06  ARCHITECTURE</w:t>
      </w:r>
    </w:p>
    <w:p>
      <w:pPr>
        <w:pStyle w:val="Heading1"/>
        <w:spacing w:after="100"/>
      </w:pPr>
      <w:r>
        <w:t>Blockchain provides evidence rather than user storage</w:t>
      </w:r>
    </w:p>
    <w:p>
      <w:pPr>
        <w:spacing w:after="180" w:line="259" w:lineRule="auto"/>
      </w:pPr>
      <w:r>
        <w:rPr>
          <w:rFonts w:ascii="Nunito" w:hAnsi="Nunito" w:eastAsia="Nunito"/>
          <w:b w:val="0"/>
          <w:color w:val="4A4560"/>
          <w:sz w:val="23"/>
        </w:rPr>
        <w:t>CoachFI separates the private learning experience from public certificate verification. Ordinary learning does not require a wallet.</w:t>
      </w:r>
    </w:p>
    <w:tbl>
      <w:tblPr>
        <w:tblW w:type="auto" w:w="0"/>
        <w:jc w:val="center"/>
        <w:tblLayout w:type="fixed"/>
        <w:tblLook w:firstColumn="1" w:firstRow="1" w:lastColumn="0" w:lastRow="0" w:noHBand="0" w:noVBand="1" w:val="04A0"/>
      </w:tblPr>
      <w:tblGrid>
        <w:gridCol w:w="1800"/>
        <w:gridCol w:w="3816"/>
        <w:gridCol w:w="4608"/>
      </w:tblGrid>
      <w:tr>
        <w:trPr>
          <w:tblHeader w:val="true"/>
        </w:trPr>
        <w:tc>
          <w:tcPr>
            <w:tcW w:type="dxa" w:w="3408"/>
            <w:shd w:fill="DDE6FF"/>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Layer</w:t>
            </w:r>
          </w:p>
        </w:tc>
        <w:tc>
          <w:tcPr>
            <w:tcW w:type="dxa" w:w="3408"/>
            <w:shd w:fill="DDE6FF"/>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Responsibility</w:t>
            </w:r>
          </w:p>
        </w:tc>
        <w:tc>
          <w:tcPr>
            <w:tcW w:type="dxa" w:w="3408"/>
            <w:shd w:fill="DDE6FF"/>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Data</w:t>
            </w:r>
          </w:p>
        </w:tc>
      </w:tr>
      <w:tr>
        <w:trPr>
          <w:cantSplit/>
        </w:trPr>
        <w:tc>
          <w:tcPr>
            <w:tcW w:type="dxa" w:w="1800"/>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CoachFI client</w:t>
            </w:r>
          </w:p>
        </w:tc>
        <w:tc>
          <w:tcPr>
            <w:tcW w:type="dxa" w:w="3816"/>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Voice and text, lessons, quizzes, accessibility, consent</w:t>
            </w:r>
          </w:p>
        </w:tc>
        <w:tc>
          <w:tcPr>
            <w:tcW w:type="dxa" w:w="4608"/>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Preferences and session state</w:t>
            </w:r>
          </w:p>
        </w:tc>
      </w:tr>
      <w:tr>
        <w:trPr>
          <w:cantSplit/>
        </w:trPr>
        <w:tc>
          <w:tcPr>
            <w:tcW w:type="dxa" w:w="1800"/>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AI orchestration</w:t>
            </w:r>
          </w:p>
        </w:tc>
        <w:tc>
          <w:tcPr>
            <w:tcW w:type="dxa" w:w="3816"/>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Context, answer rules, sources, refusals</w:t>
            </w:r>
          </w:p>
        </w:tc>
        <w:tc>
          <w:tcPr>
            <w:tcW w:type="dxa" w:w="4608"/>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Minimum context and quality telemetry</w:t>
            </w:r>
          </w:p>
        </w:tc>
      </w:tr>
      <w:tr>
        <w:trPr>
          <w:cantSplit/>
        </w:trPr>
        <w:tc>
          <w:tcPr>
            <w:tcW w:type="dxa" w:w="1800"/>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Learning backend</w:t>
            </w:r>
          </w:p>
        </w:tc>
        <w:tc>
          <w:tcPr>
            <w:tcW w:type="dxa" w:w="3816"/>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Accounts, content, progress, eligibility rules</w:t>
            </w:r>
          </w:p>
        </w:tc>
        <w:tc>
          <w:tcPr>
            <w:tcW w:type="dxa" w:w="4608"/>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Off-chain learning history and results</w:t>
            </w:r>
          </w:p>
        </w:tc>
      </w:tr>
      <w:tr>
        <w:trPr>
          <w:cantSplit/>
        </w:trPr>
        <w:tc>
          <w:tcPr>
            <w:tcW w:type="dxa" w:w="1800"/>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Certificate service</w:t>
            </w:r>
          </w:p>
        </w:tc>
        <w:tc>
          <w:tcPr>
            <w:tcW w:type="dxa" w:w="3816"/>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Builds minimal metadata, requests signature, records evidence</w:t>
            </w:r>
          </w:p>
        </w:tc>
        <w:tc>
          <w:tcPr>
            <w:tcW w:type="dxa" w:w="4608"/>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Pseudonymous achievement identifier</w:t>
            </w:r>
          </w:p>
        </w:tc>
      </w:tr>
      <w:tr>
        <w:trPr>
          <w:cantSplit/>
        </w:trPr>
        <w:tc>
          <w:tcPr>
            <w:tcW w:type="dxa" w:w="1800"/>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Solana Devnet</w:t>
            </w:r>
          </w:p>
        </w:tc>
        <w:tc>
          <w:tcPr>
            <w:tcW w:type="dxa" w:w="3816"/>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Transaction, asset, and public verification</w:t>
            </w:r>
          </w:p>
        </w:tc>
        <w:tc>
          <w:tcPr>
            <w:tcW w:type="dxa" w:w="4608"/>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Wallet address and a minimal public record</w:t>
            </w:r>
          </w:p>
        </w:tc>
      </w:tr>
      <w:tr>
        <w:trPr>
          <w:cantSplit/>
        </w:trPr>
        <w:tc>
          <w:tcPr>
            <w:tcW w:type="dxa" w:w="1800"/>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Observability</w:t>
            </w:r>
          </w:p>
        </w:tc>
        <w:tc>
          <w:tcPr>
            <w:tcW w:type="dxa" w:w="3816"/>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Errors, latency, security, audit trail</w:t>
            </w:r>
          </w:p>
        </w:tc>
        <w:tc>
          <w:tcPr>
            <w:tcW w:type="dxa" w:w="4608"/>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Redacted logs with defined retention</w:t>
            </w:r>
          </w:p>
        </w:tc>
      </w:tr>
    </w:tbl>
    <w:p>
      <w:pPr>
        <w:spacing w:after="0"/>
      </w:pPr>
    </w:p>
    <w:p>
      <w:pPr>
        <w:pStyle w:val="Heading2"/>
      </w:pPr>
      <w:r>
        <w:t>Issuance flow</w:t>
      </w:r>
    </w:p>
    <w:p>
      <w:r>
        <w:rPr>
          <w:rFonts w:ascii="Nunito" w:hAnsi="Nunito" w:eastAsia="Nunito"/>
          <w:color w:val="1E1B2E"/>
          <w:sz w:val="20"/>
        </w:rPr>
        <w:t>1. The backend confirms that a published completion rule has been met. 2. The user sees what will become public. 3. The user gives separate consent and selects a wallet. 4. The service creates a minimal record. 5. The wallet signs. 6. The backend records the transaction, asset, owner, and metadata. 7. The user receives an Explorer link and a support path.</w:t>
      </w:r>
    </w:p>
    <w:p>
      <w:pPr>
        <w:pStyle w:val="Heading2"/>
      </w:pPr>
      <w:r>
        <w:t>Failure design</w:t>
      </w:r>
    </w:p>
    <w:p>
      <w:pPr>
        <w:pStyle w:val="ListBullet"/>
      </w:pPr>
      <w:r>
        <w:rPr>
          <w:rFonts w:ascii="Nunito" w:hAnsi="Nunito" w:eastAsia="Nunito"/>
          <w:color w:val="1E1B2E"/>
          <w:sz w:val="20"/>
        </w:rPr>
        <w:t>Minting is idempotent so a retry should not create a duplicate.</w:t>
      </w:r>
    </w:p>
    <w:p>
      <w:pPr>
        <w:pStyle w:val="ListBullet"/>
      </w:pPr>
      <w:r>
        <w:rPr>
          <w:rFonts w:ascii="Nunito" w:hAnsi="Nunito" w:eastAsia="Nunito"/>
          <w:color w:val="1E1B2E"/>
          <w:sz w:val="20"/>
        </w:rPr>
        <w:t>An RPC failure does not remove learning progress or block course access.</w:t>
      </w:r>
    </w:p>
    <w:p>
      <w:pPr>
        <w:pStyle w:val="ListBullet"/>
      </w:pPr>
      <w:r>
        <w:rPr>
          <w:rFonts w:ascii="Nunito" w:hAnsi="Nunito" w:eastAsia="Nunito"/>
          <w:color w:val="1E1B2E"/>
          <w:sz w:val="20"/>
        </w:rPr>
        <w:t>Changing a wallet does not automatically move learning history.</w:t>
      </w:r>
    </w:p>
    <w:p>
      <w:pPr>
        <w:pStyle w:val="ListBullet"/>
      </w:pPr>
      <w:r>
        <w:rPr>
          <w:rFonts w:ascii="Nunito" w:hAnsi="Nunito" w:eastAsia="Nunito"/>
          <w:color w:val="1E1B2E"/>
          <w:sz w:val="20"/>
        </w:rPr>
        <w:t>Mainnet operations require separate key management, monitoring, audit, and incident response plans.</w:t>
      </w:r>
    </w:p>
    <w:p>
      <w:r>
        <w:br w:type="page"/>
      </w:r>
    </w:p>
    <w:p>
      <w:pPr>
        <w:spacing w:after="60"/>
      </w:pPr>
      <w:r>
        <w:rPr>
          <w:rFonts w:ascii="Nunito" w:hAnsi="Nunito" w:eastAsia="Nunito"/>
          <w:b/>
          <w:color w:val="5B4BC4"/>
          <w:sz w:val="18"/>
        </w:rPr>
        <w:t>07  EVIDENCE MODEL</w:t>
      </w:r>
    </w:p>
    <w:p>
      <w:pPr>
        <w:pStyle w:val="Heading1"/>
        <w:spacing w:after="100"/>
      </w:pPr>
      <w:r>
        <w:t>Every certificate should be reproducible</w:t>
      </w:r>
    </w:p>
    <w:p>
      <w:pPr>
        <w:spacing w:after="180" w:line="259" w:lineRule="auto"/>
      </w:pPr>
      <w:r>
        <w:rPr>
          <w:rFonts w:ascii="Nunito" w:hAnsi="Nunito" w:eastAsia="Nunito"/>
          <w:b w:val="0"/>
          <w:color w:val="4A4560"/>
          <w:sz w:val="23"/>
        </w:rPr>
        <w:t>The certificate matters only when an independent reviewer can reconstruct the evidence chain: which rule was completed, who consented, what became public, and how the record can be checked.</w:t>
      </w:r>
    </w:p>
    <w:tbl>
      <w:tblPr>
        <w:tblW w:type="auto" w:w="0"/>
        <w:jc w:val="center"/>
        <w:tblLayout w:type="fixed"/>
        <w:tblLook w:firstColumn="1" w:firstRow="1" w:lastColumn="0" w:lastRow="0" w:noHBand="0" w:noVBand="1" w:val="04A0"/>
      </w:tblPr>
      <w:tblGrid>
        <w:gridCol w:w="2880"/>
        <w:gridCol w:w="7344"/>
      </w:tblGrid>
      <w:tr>
        <w:trPr>
          <w:tblHeader w:val="true"/>
        </w:trPr>
        <w:tc>
          <w:tcPr>
            <w:tcW w:type="dxa" w:w="5112"/>
            <w:shd w:fill="FFF0BF"/>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Evidence field</w:t>
            </w:r>
          </w:p>
        </w:tc>
        <w:tc>
          <w:tcPr>
            <w:tcW w:type="dxa" w:w="5112"/>
            <w:shd w:fill="FFF0BF"/>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Publication requirement</w:t>
            </w:r>
          </w:p>
        </w:tc>
      </w:tr>
      <w:tr>
        <w:trPr>
          <w:cantSplit/>
        </w:trPr>
        <w:tc>
          <w:tcPr>
            <w:tcW w:type="dxa" w:w="2880"/>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Transaction signature</w:t>
            </w:r>
          </w:p>
        </w:tc>
        <w:tc>
          <w:tcPr>
            <w:tcW w:type="dxa" w:w="7344"/>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A public Solana Explorer link using the devnet cluster and showing a successful transaction.</w:t>
            </w:r>
          </w:p>
        </w:tc>
      </w:tr>
      <w:tr>
        <w:trPr>
          <w:cantSplit/>
        </w:trPr>
        <w:tc>
          <w:tcPr>
            <w:tcW w:type="dxa" w:w="2880"/>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Asset address</w:t>
            </w:r>
          </w:p>
        </w:tc>
        <w:tc>
          <w:tcPr>
            <w:tcW w:type="dxa" w:w="7344"/>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The asset created by the transaction, copied from a machine-readable source rather than a screenshot.</w:t>
            </w:r>
          </w:p>
        </w:tc>
      </w:tr>
      <w:tr>
        <w:trPr>
          <w:cantSplit/>
        </w:trPr>
        <w:tc>
          <w:tcPr>
            <w:tcW w:type="dxa" w:w="2880"/>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Expected owner</w:t>
            </w:r>
          </w:p>
        </w:tc>
        <w:tc>
          <w:tcPr>
            <w:tcW w:type="dxa" w:w="7344"/>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The wallet selected by the user, compared with the post-transaction state.</w:t>
            </w:r>
          </w:p>
        </w:tc>
      </w:tr>
      <w:tr>
        <w:trPr>
          <w:cantSplit/>
        </w:trPr>
        <w:tc>
          <w:tcPr>
            <w:tcW w:type="dxa" w:w="2880"/>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Metadata</w:t>
            </w:r>
          </w:p>
        </w:tc>
        <w:tc>
          <w:tcPr>
            <w:tcW w:type="dxa" w:w="7344"/>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Course title, rule version, date, issuer, and URI or hash, without quiz scores or financial data.</w:t>
            </w:r>
          </w:p>
        </w:tc>
      </w:tr>
      <w:tr>
        <w:trPr>
          <w:cantSplit/>
        </w:trPr>
        <w:tc>
          <w:tcPr>
            <w:tcW w:type="dxa" w:w="2880"/>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Program or standard</w:t>
            </w:r>
          </w:p>
        </w:tc>
        <w:tc>
          <w:tcPr>
            <w:tcW w:type="dxa" w:w="7344"/>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The program actually invoked by the transaction. Name the technology only after verification.</w:t>
            </w:r>
          </w:p>
        </w:tc>
      </w:tr>
      <w:tr>
        <w:trPr>
          <w:cantSplit/>
        </w:trPr>
        <w:tc>
          <w:tcPr>
            <w:tcW w:type="dxa" w:w="2880"/>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Transfer behavior</w:t>
            </w:r>
          </w:p>
        </w:tc>
        <w:tc>
          <w:tcPr>
            <w:tcW w:type="dxa" w:w="7344"/>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A separate technical test before any claim that the asset cannot be transferred.</w:t>
            </w:r>
          </w:p>
        </w:tc>
      </w:tr>
      <w:tr>
        <w:trPr>
          <w:cantSplit/>
        </w:trPr>
        <w:tc>
          <w:tcPr>
            <w:tcW w:type="dxa" w:w="2880"/>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Product trace</w:t>
            </w:r>
          </w:p>
        </w:tc>
        <w:tc>
          <w:tcPr>
            <w:tcW w:type="dxa" w:w="7344"/>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Application version, completion rule ID, and issuance time stored off-chain.</w:t>
            </w:r>
          </w:p>
        </w:tc>
      </w:tr>
    </w:tbl>
    <w:p>
      <w:pPr>
        <w:spacing w:after="0"/>
      </w:pPr>
    </w:p>
    <w:p>
      <w:pPr>
        <w:pStyle w:val="Heading2"/>
      </w:pPr>
      <w:r>
        <w:t>Minimum public evidence package</w:t>
      </w:r>
    </w:p>
    <w:p>
      <w:r>
        <w:rPr>
          <w:rFonts w:ascii="Nunito" w:hAnsi="Nunito" w:eastAsia="Nunito"/>
          <w:color w:val="1E1B2E"/>
          <w:sz w:val="20"/>
        </w:rPr>
        <w:t>A DEVNET_PROOF file or public panel should contain the date, environment, release or commit, transaction, asset, owner, metadata URI or hash, program, state snapshot, and result of an independent RPC read. Solana exposes transaction lookup and signature verification, and Explorer supports the Devnet cluster [6].</w:t>
      </w:r>
    </w:p>
    <w:p>
      <w:r>
        <w:rPr>
          <w:rFonts w:ascii="Nunito" w:hAnsi="Nunito" w:eastAsia="Nunito"/>
          <w:color w:val="1E1B2E"/>
          <w:sz w:val="20"/>
        </w:rPr>
        <w:t>A missing field means unverified, not broken. This distinction preserves the confirmed product status while making the limits of the public audit explicit.</w:t>
      </w:r>
    </w:p>
    <w:p>
      <w:r>
        <w:br w:type="page"/>
      </w:r>
    </w:p>
    <w:p>
      <w:pPr>
        <w:spacing w:after="60"/>
      </w:pPr>
      <w:r>
        <w:rPr>
          <w:rFonts w:ascii="Nunito" w:hAnsi="Nunito" w:eastAsia="Nunito"/>
          <w:b/>
          <w:color w:val="5B4BC4"/>
          <w:sz w:val="18"/>
        </w:rPr>
        <w:t>08  DATA AND SECURITY</w:t>
      </w:r>
    </w:p>
    <w:p>
      <w:pPr>
        <w:pStyle w:val="Heading1"/>
        <w:spacing w:after="100"/>
      </w:pPr>
      <w:r>
        <w:t>Private by default and public only with consent</w:t>
      </w:r>
    </w:p>
    <w:p>
      <w:pPr>
        <w:spacing w:after="180" w:line="259" w:lineRule="auto"/>
      </w:pPr>
      <w:r>
        <w:rPr>
          <w:rFonts w:ascii="Nunito" w:hAnsi="Nunito" w:eastAsia="Nunito"/>
          <w:b w:val="0"/>
          <w:color w:val="4A4560"/>
          <w:sz w:val="23"/>
        </w:rPr>
        <w:t>CoachFI uses purpose limitation, data minimization, accuracy, storage limitation, and security as design principles drawn from Article 5 of the GDPR [7]. This is a product direction, not a claim of formal legal compliance.</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5112"/>
            <w:shd w:fill="D5F3E5"/>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Remains off-chain</w:t>
            </w:r>
          </w:p>
        </w:tc>
        <w:tc>
          <w:tcPr>
            <w:tcW w:type="dxa" w:w="5112"/>
            <w:shd w:fill="D5F3E5"/>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May become public after consent</w:t>
            </w:r>
          </w:p>
        </w:tc>
      </w:tr>
      <w:tr>
        <w:trPr>
          <w:cantSplit/>
        </w:trPr>
        <w:tc>
          <w:tcPr>
            <w:tcW w:type="dxa" w:w="5112"/>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Health Check answers and conversation history</w:t>
            </w:r>
          </w:p>
        </w:tc>
        <w:tc>
          <w:tcPr>
            <w:tcW w:type="dxa" w:w="5112"/>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Public wallet address</w:t>
            </w:r>
          </w:p>
        </w:tc>
      </w:tr>
      <w:tr>
        <w:trPr>
          <w:cantSplit/>
        </w:trPr>
        <w:tc>
          <w:tcPr>
            <w:tcW w:type="dxa" w:w="5112"/>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Quiz results and personalization rules</w:t>
            </w:r>
          </w:p>
        </w:tc>
        <w:tc>
          <w:tcPr>
            <w:tcW w:type="dxa" w:w="5112"/>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Minimal certificate identifier</w:t>
            </w:r>
          </w:p>
        </w:tc>
      </w:tr>
      <w:tr>
        <w:trPr>
          <w:cantSplit/>
        </w:trPr>
        <w:tc>
          <w:tcPr>
            <w:tcW w:type="dxa" w:w="5112"/>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Goals, amounts, routines, and accessibility settings</w:t>
            </w:r>
          </w:p>
        </w:tc>
        <w:tc>
          <w:tcPr>
            <w:tcW w:type="dxa" w:w="5112"/>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Learning path and completion date when they reveal no sensitive information</w:t>
            </w:r>
          </w:p>
        </w:tc>
      </w:tr>
      <w:tr>
        <w:trPr>
          <w:cantSplit/>
        </w:trPr>
        <w:tc>
          <w:tcPr>
            <w:tcW w:type="dxa" w:w="5112"/>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Contact data, support requests, and reports</w:t>
            </w:r>
          </w:p>
        </w:tc>
        <w:tc>
          <w:tcPr>
            <w:tcW w:type="dxa" w:w="5112"/>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Technical metadata required for verification</w:t>
            </w:r>
          </w:p>
        </w:tc>
      </w:tr>
    </w:tbl>
    <w:p>
      <w:pPr>
        <w:spacing w:after="0"/>
      </w:pPr>
    </w:p>
    <w:p>
      <w:pPr>
        <w:pStyle w:val="Heading2"/>
      </w:pPr>
      <w:r>
        <w:t>Controls required before scale</w:t>
      </w:r>
    </w:p>
    <w:p>
      <w:pPr>
        <w:pStyle w:val="ListBullet"/>
      </w:pPr>
      <w:r>
        <w:rPr>
          <w:rFonts w:ascii="Nunito" w:hAnsi="Nunito" w:eastAsia="Nunito"/>
          <w:color w:val="1E1B2E"/>
          <w:sz w:val="20"/>
        </w:rPr>
        <w:t>Separate blockchain consent that explains permanence, public visibility, and wallet-address implications.</w:t>
      </w:r>
    </w:p>
    <w:p>
      <w:pPr>
        <w:pStyle w:val="ListBullet"/>
      </w:pPr>
      <w:r>
        <w:rPr>
          <w:rFonts w:ascii="Nunito" w:hAnsi="Nunito" w:eastAsia="Nunito"/>
          <w:color w:val="1E1B2E"/>
          <w:sz w:val="20"/>
        </w:rPr>
        <w:t>No request for a seed phrase, private key, bank login, or full account number.</w:t>
      </w:r>
    </w:p>
    <w:p>
      <w:pPr>
        <w:pStyle w:val="ListBullet"/>
      </w:pPr>
      <w:r>
        <w:rPr>
          <w:rFonts w:ascii="Nunito" w:hAnsi="Nunito" w:eastAsia="Nunito"/>
          <w:color w:val="1E1B2E"/>
          <w:sz w:val="20"/>
        </w:rPr>
        <w:t>Encryption in transit and at rest, role-based access, secret rotation, and an audit trail.</w:t>
      </w:r>
    </w:p>
    <w:p>
      <w:pPr>
        <w:pStyle w:val="ListBullet"/>
      </w:pPr>
      <w:r>
        <w:rPr>
          <w:rFonts w:ascii="Nunito" w:hAnsi="Nunito" w:eastAsia="Nunito"/>
          <w:color w:val="1E1B2E"/>
          <w:sz w:val="20"/>
        </w:rPr>
        <w:t>Retention defined by purpose. Account deletion must not imply that a public blockchain record can be deleted.</w:t>
      </w:r>
    </w:p>
    <w:p>
      <w:pPr>
        <w:pStyle w:val="ListBullet"/>
      </w:pPr>
      <w:r>
        <w:rPr>
          <w:rFonts w:ascii="Nunito" w:hAnsi="Nunito" w:eastAsia="Nunito"/>
          <w:color w:val="1E1B2E"/>
          <w:sz w:val="20"/>
        </w:rPr>
        <w:t>Incident response, backups, recovery tests, and a responsible vulnerability reporting process.</w:t>
      </w:r>
    </w:p>
    <w:p>
      <w:pPr>
        <w:pStyle w:val="Heading2"/>
      </w:pPr>
      <w:r>
        <w:t>Threat model</w:t>
      </w:r>
    </w:p>
    <w:p>
      <w:r>
        <w:rPr>
          <w:rFonts w:ascii="Nunito" w:hAnsi="Nunito" w:eastAsia="Nunito"/>
          <w:color w:val="1E1B2E"/>
          <w:sz w:val="20"/>
        </w:rPr>
        <w:t>Priority scenarios include account takeover, transcript leakage, prompt injection through source material, unauthorized minting, duplicate certificates, an incorrect owner, wallet phishing, and sensitive data in logs. Each scenario needs a named control owner and a regression test.</w:t>
      </w:r>
    </w:p>
    <w:p>
      <w:r>
        <w:br w:type="page"/>
      </w:r>
    </w:p>
    <w:p>
      <w:pPr>
        <w:spacing w:after="60"/>
      </w:pPr>
      <w:r>
        <w:rPr>
          <w:rFonts w:ascii="Nunito" w:hAnsi="Nunito" w:eastAsia="Nunito"/>
          <w:b/>
          <w:color w:val="5B4BC4"/>
          <w:sz w:val="18"/>
        </w:rPr>
        <w:t>09  AI GOVERNANCE</w:t>
      </w:r>
    </w:p>
    <w:p>
      <w:pPr>
        <w:pStyle w:val="Heading1"/>
        <w:spacing w:after="100"/>
      </w:pPr>
      <w:r>
        <w:t>Transparency boundaries and correction</w:t>
      </w:r>
    </w:p>
    <w:p>
      <w:pPr>
        <w:spacing w:after="180" w:line="259" w:lineRule="auto"/>
      </w:pPr>
      <w:r>
        <w:rPr>
          <w:rFonts w:ascii="Nunito" w:hAnsi="Nunito" w:eastAsia="Nunito"/>
          <w:b w:val="0"/>
          <w:color w:val="4A4560"/>
          <w:sz w:val="23"/>
        </w:rPr>
        <w:t>Users should know from the start that they are interacting with AI. Article 50 of the EU AI Act establishes transparency duties for systems that interact directly with people, with relevant duties applying from 2 August 2026 [8][9].</w:t>
      </w:r>
    </w:p>
    <w:tbl>
      <w:tblPr>
        <w:tblW w:type="auto" w:w="0"/>
        <w:jc w:val="center"/>
        <w:tblLayout w:type="fixed"/>
        <w:tblLook w:firstColumn="1" w:firstRow="1" w:lastColumn="0" w:lastRow="0" w:noHBand="0" w:noVBand="1" w:val="04A0"/>
      </w:tblPr>
      <w:tblGrid>
        <w:gridCol w:w="3168"/>
        <w:gridCol w:w="7056"/>
      </w:tblGrid>
      <w:tr>
        <w:trPr>
          <w:tblHeader w:val="true"/>
        </w:trPr>
        <w:tc>
          <w:tcPr>
            <w:tcW w:type="dxa" w:w="5112"/>
            <w:shd w:fill="FFD9EF"/>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Risk</w:t>
            </w:r>
          </w:p>
        </w:tc>
        <w:tc>
          <w:tcPr>
            <w:tcW w:type="dxa" w:w="5112"/>
            <w:shd w:fill="FFD9EF"/>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CoachFI control</w:t>
            </w:r>
          </w:p>
        </w:tc>
      </w:tr>
      <w:tr>
        <w:trPr>
          <w:cantSplit/>
        </w:trPr>
        <w:tc>
          <w:tcPr>
            <w:tcW w:type="dxa" w:w="3168"/>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Incorrect or stale answer</w:t>
            </w:r>
          </w:p>
        </w:tc>
        <w:tc>
          <w:tcPr>
            <w:tcW w:type="dxa" w:w="7056"/>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Versioned knowledge cards, sources, review dates, and regression tests.</w:t>
            </w:r>
          </w:p>
        </w:tc>
      </w:tr>
      <w:tr>
        <w:trPr>
          <w:cantSplit/>
        </w:trPr>
        <w:tc>
          <w:tcPr>
            <w:tcW w:type="dxa" w:w="3168"/>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Advice instead of education</w:t>
            </w:r>
          </w:p>
        </w:tc>
        <w:tc>
          <w:tcPr>
            <w:tcW w:type="dxa" w:w="7056"/>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Approved answer patterns, refusal of recommendations, and referral to a licensed professional.</w:t>
            </w:r>
          </w:p>
        </w:tc>
      </w:tr>
      <w:tr>
        <w:trPr>
          <w:cantSplit/>
        </w:trPr>
        <w:tc>
          <w:tcPr>
            <w:tcW w:type="dxa" w:w="3168"/>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Hidden automation</w:t>
            </w:r>
          </w:p>
        </w:tc>
        <w:tc>
          <w:tcPr>
            <w:tcW w:type="dxa" w:w="7056"/>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A persistent Mila AI coach label and a boundary reminder for high-risk topics.</w:t>
            </w:r>
          </w:p>
        </w:tc>
      </w:tr>
      <w:tr>
        <w:trPr>
          <w:cantSplit/>
        </w:trPr>
        <w:tc>
          <w:tcPr>
            <w:tcW w:type="dxa" w:w="3168"/>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False confidence</w:t>
            </w:r>
          </w:p>
        </w:tc>
        <w:tc>
          <w:tcPr>
            <w:tcW w:type="dxa" w:w="7056"/>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Uncertainty language, clarifying questions, and a visible explanation of why the answer appeared.</w:t>
            </w:r>
          </w:p>
        </w:tc>
      </w:tr>
      <w:tr>
        <w:trPr>
          <w:cantSplit/>
        </w:trPr>
        <w:tc>
          <w:tcPr>
            <w:tcW w:type="dxa" w:w="3168"/>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No correction path</w:t>
            </w:r>
          </w:p>
        </w:tc>
        <w:tc>
          <w:tcPr>
            <w:tcW w:type="dxa" w:w="7056"/>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Error reporting, triage, versioned correction, and notification where users may be affected.</w:t>
            </w:r>
          </w:p>
        </w:tc>
      </w:tr>
    </w:tbl>
    <w:p>
      <w:pPr>
        <w:spacing w:after="0"/>
      </w:pPr>
    </w:p>
    <w:p>
      <w:pPr>
        <w:pStyle w:val="Heading2"/>
      </w:pPr>
      <w:r>
        <w:t>Mila boundaries</w:t>
      </w:r>
    </w:p>
    <w:p>
      <w:pPr>
        <w:pStyle w:val="ListBullet"/>
      </w:pPr>
      <w:r>
        <w:rPr>
          <w:rFonts w:ascii="Nunito" w:hAnsi="Nunito" w:eastAsia="Nunito"/>
          <w:color w:val="1E1B2E"/>
          <w:sz w:val="20"/>
        </w:rPr>
        <w:t>Mila does not select a stock, fund, loan, card, insurance policy, or other specific financial product.</w:t>
      </w:r>
    </w:p>
    <w:p>
      <w:pPr>
        <w:pStyle w:val="ListBullet"/>
      </w:pPr>
      <w:r>
        <w:rPr>
          <w:rFonts w:ascii="Nunito" w:hAnsi="Nunito" w:eastAsia="Nunito"/>
          <w:color w:val="1E1B2E"/>
          <w:sz w:val="20"/>
        </w:rPr>
        <w:t>Mila does not forecast guaranteed returns or use time pressure.</w:t>
      </w:r>
    </w:p>
    <w:p>
      <w:pPr>
        <w:pStyle w:val="ListBullet"/>
      </w:pPr>
      <w:r>
        <w:rPr>
          <w:rFonts w:ascii="Nunito" w:hAnsi="Nunito" w:eastAsia="Nunito"/>
          <w:color w:val="1E1B2E"/>
          <w:sz w:val="20"/>
        </w:rPr>
        <w:t>Tax and legal content requires a jurisdiction, a source, and an appropriate limitation notice.</w:t>
      </w:r>
    </w:p>
    <w:p>
      <w:pPr>
        <w:pStyle w:val="ListBullet"/>
      </w:pPr>
      <w:r>
        <w:rPr>
          <w:rFonts w:ascii="Nunito" w:hAnsi="Nunito" w:eastAsia="Nunito"/>
          <w:color w:val="1E1B2E"/>
          <w:sz w:val="20"/>
        </w:rPr>
        <w:t>For financial distress, Mila offers neutral safety steps and appropriate help channels instead of a product recommendation.</w:t>
      </w:r>
    </w:p>
    <w:p>
      <w:pPr>
        <w:pStyle w:val="Heading2"/>
      </w:pPr>
      <w:r>
        <w:t>Publication gate</w:t>
      </w:r>
    </w:p>
    <w:p>
      <w:r>
        <w:rPr>
          <w:rFonts w:ascii="Nunito" w:hAnsi="Nunito" w:eastAsia="Nunito"/>
          <w:color w:val="1E1B2E"/>
          <w:sz w:val="20"/>
        </w:rPr>
        <w:t>Each new content category requires subject-matter, legal or regulatory, privacy, security, accessibility, and editorial review. PL/EU content needs its own source set. Translating US material is not sufficient.</w:t>
      </w:r>
    </w:p>
    <w:p>
      <w:r>
        <w:br w:type="page"/>
      </w:r>
    </w:p>
    <w:p>
      <w:pPr>
        <w:spacing w:after="60"/>
      </w:pPr>
      <w:r>
        <w:rPr>
          <w:rFonts w:ascii="Nunito" w:hAnsi="Nunito" w:eastAsia="Nunito"/>
          <w:b/>
          <w:color w:val="5B4BC4"/>
          <w:sz w:val="18"/>
        </w:rPr>
        <w:t>10  ACCESSIBILITY AND YOUNGER USERS</w:t>
      </w:r>
    </w:p>
    <w:p>
      <w:pPr>
        <w:pStyle w:val="Heading1"/>
        <w:spacing w:after="100"/>
      </w:pPr>
      <w:r>
        <w:t>Voice first does not mean voice only</w:t>
      </w:r>
    </w:p>
    <w:p>
      <w:pPr>
        <w:spacing w:after="180" w:line="259" w:lineRule="auto"/>
      </w:pPr>
      <w:r>
        <w:rPr>
          <w:rFonts w:ascii="Nunito" w:hAnsi="Nunito" w:eastAsia="Nunito"/>
          <w:b w:val="0"/>
          <w:color w:val="4A4560"/>
          <w:sz w:val="23"/>
        </w:rPr>
        <w:t>CoachFI uses WCAG 2.2 AA as its quality target [10]. Every critical path should work without sound, without a mouse, and at increased text size.</w:t>
      </w:r>
    </w:p>
    <w:tbl>
      <w:tblPr>
        <w:tblW w:type="auto" w:w="0"/>
        <w:jc w:val="center"/>
        <w:tblLayout w:type="fixed"/>
        <w:tblLook w:firstColumn="1" w:firstRow="1" w:lastColumn="0" w:lastRow="0" w:noHBand="0" w:noVBand="1" w:val="04A0"/>
      </w:tblPr>
      <w:tblGrid>
        <w:gridCol w:w="1944"/>
        <w:gridCol w:w="8280"/>
      </w:tblGrid>
      <w:tr>
        <w:trPr>
          <w:tblHeader w:val="true"/>
        </w:trPr>
        <w:tc>
          <w:tcPr>
            <w:tcW w:type="dxa" w:w="5112"/>
            <w:shd w:fill="DDE6FF"/>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Need</w:t>
            </w:r>
          </w:p>
        </w:tc>
        <w:tc>
          <w:tcPr>
            <w:tcW w:type="dxa" w:w="5112"/>
            <w:shd w:fill="DDE6FF"/>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Requirement</w:t>
            </w:r>
          </w:p>
        </w:tc>
      </w:tr>
      <w:tr>
        <w:trPr>
          <w:cantSplit/>
        </w:trPr>
        <w:tc>
          <w:tcPr>
            <w:tcW w:type="dxa" w:w="1944"/>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Vision</w:t>
            </w:r>
          </w:p>
        </w:tc>
        <w:tc>
          <w:tcPr>
            <w:tcW w:type="dxa" w:w="8280"/>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Screen-reader structure, clear control names, text summaries for charts, and high-contrast support.</w:t>
            </w:r>
          </w:p>
        </w:tc>
      </w:tr>
      <w:tr>
        <w:trPr>
          <w:cantSplit/>
        </w:trPr>
        <w:tc>
          <w:tcPr>
            <w:tcW w:type="dxa" w:w="1944"/>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Hearing</w:t>
            </w:r>
          </w:p>
        </w:tc>
        <w:tc>
          <w:tcPr>
            <w:tcW w:type="dxa" w:w="8280"/>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A transcript for every lesson, live captions, and visual status information.</w:t>
            </w:r>
          </w:p>
        </w:tc>
      </w:tr>
      <w:tr>
        <w:trPr>
          <w:cantSplit/>
        </w:trPr>
        <w:tc>
          <w:tcPr>
            <w:tcW w:type="dxa" w:w="1944"/>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Motor</w:t>
            </w:r>
          </w:p>
        </w:tc>
        <w:tc>
          <w:tcPr>
            <w:tcW w:type="dxa" w:w="8280"/>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Full keyboard support, targets of at least 44 px, gesture alternatives, and no animation with reduced motion.</w:t>
            </w:r>
          </w:p>
        </w:tc>
      </w:tr>
      <w:tr>
        <w:trPr>
          <w:cantSplit/>
        </w:trPr>
        <w:tc>
          <w:tcPr>
            <w:tcW w:type="dxa" w:w="1944"/>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Cognitive</w:t>
            </w:r>
          </w:p>
        </w:tc>
        <w:tc>
          <w:tcPr>
            <w:tcW w:type="dxa" w:w="8280"/>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One decision per screen, plain language, predictable navigation, and no penalty for taking a break.</w:t>
            </w:r>
          </w:p>
        </w:tc>
      </w:tr>
    </w:tbl>
    <w:p>
      <w:pPr>
        <w:spacing w:after="0"/>
      </w:pPr>
    </w:p>
    <w:p>
      <w:pPr>
        <w:pStyle w:val="Heading2"/>
      </w:pPr>
      <w:r>
        <w:t>Teen and Kids require a separate release gate</w:t>
      </w:r>
    </w:p>
    <w:p>
      <w:r>
        <w:rPr>
          <w:rFonts w:ascii="Nunito" w:hAnsi="Nunito" w:eastAsia="Nunito"/>
          <w:color w:val="1E1B2E"/>
          <w:sz w:val="20"/>
        </w:rPr>
        <w:t>The launch scope is Adult / US / English. Teen and Kids modes are planned. Kids requires a parent-created profile, pre-approved content, no open AI chat, no advertising, no purchases, and no notifications directed to children. Certificates should be issued to a parent or guardian account.</w:t>
      </w:r>
    </w:p>
    <w:p>
      <w:pPr>
        <w:pStyle w:val="ListBullet"/>
      </w:pPr>
      <w:r>
        <w:rPr>
          <w:rFonts w:ascii="Nunito" w:hAnsi="Nunito" w:eastAsia="Nunito"/>
          <w:color w:val="1E1B2E"/>
          <w:sz w:val="20"/>
        </w:rPr>
        <w:t>Before a pilot, complete child-safety, privacy, legal, and local age-consent review.</w:t>
      </w:r>
    </w:p>
    <w:p>
      <w:pPr>
        <w:pStyle w:val="ListBullet"/>
      </w:pPr>
      <w:r>
        <w:rPr>
          <w:rFonts w:ascii="Nunito" w:hAnsi="Nunito" w:eastAsia="Nunito"/>
          <w:color w:val="1E1B2E"/>
          <w:sz w:val="20"/>
        </w:rPr>
        <w:t>Avoid loss mechanics. A learning pet never becomes ill, dies, or loses rewards because of absence.</w:t>
      </w:r>
    </w:p>
    <w:p>
      <w:pPr>
        <w:pStyle w:val="ListBullet"/>
      </w:pPr>
      <w:r>
        <w:rPr>
          <w:rFonts w:ascii="Nunito" w:hAnsi="Nunito" w:eastAsia="Nunito"/>
          <w:color w:val="1E1B2E"/>
          <w:sz w:val="20"/>
        </w:rPr>
        <w:t>Keep children's sessions short and lead to a break. Screen time is not the condition for a reward.</w:t>
      </w:r>
    </w:p>
    <w:p>
      <w:pPr>
        <w:pStyle w:val="ListBullet"/>
      </w:pPr>
      <w:r>
        <w:rPr>
          <w:rFonts w:ascii="Nunito" w:hAnsi="Nunito" w:eastAsia="Nunito"/>
          <w:color w:val="1E1B2E"/>
          <w:sz w:val="20"/>
        </w:rPr>
        <w:t>Usability research includes blind and low-vision users and people who use assistive technology.</w:t>
      </w:r>
    </w:p>
    <w:p>
      <w:r>
        <w:br w:type="page"/>
      </w:r>
    </w:p>
    <w:p>
      <w:pPr>
        <w:spacing w:after="60"/>
      </w:pPr>
      <w:r>
        <w:rPr>
          <w:rFonts w:ascii="Nunito" w:hAnsi="Nunito" w:eastAsia="Nunito"/>
          <w:b/>
          <w:color w:val="5B4BC4"/>
          <w:sz w:val="18"/>
        </w:rPr>
        <w:t>11  BUSINESS MODEL</w:t>
      </w:r>
    </w:p>
    <w:p>
      <w:pPr>
        <w:pStyle w:val="Heading1"/>
        <w:spacing w:after="100"/>
      </w:pPr>
      <w:r>
        <w:t>Educational value before monetization</w:t>
      </w:r>
    </w:p>
    <w:p>
      <w:pPr>
        <w:spacing w:after="180" w:line="259" w:lineRule="auto"/>
      </w:pPr>
      <w:r>
        <w:rPr>
          <w:rFonts w:ascii="Nunito" w:hAnsi="Nunito" w:eastAsia="Nunito"/>
          <w:b w:val="0"/>
          <w:color w:val="4A4560"/>
          <w:sz w:val="23"/>
        </w:rPr>
        <w:t>The revenue model should support trust in the learning experience. The initial product remains free. Later revenue layers should be tested openly and kept separate from educational decisions.</w:t>
      </w:r>
    </w:p>
    <w:tbl>
      <w:tblPr>
        <w:tblW w:type="auto" w:w="0"/>
        <w:jc w:val="center"/>
        <w:tblLayout w:type="fixed"/>
        <w:tblLook w:firstColumn="1" w:firstRow="1" w:lastColumn="0" w:lastRow="0" w:noHBand="0" w:noVBand="1" w:val="04A0"/>
      </w:tblPr>
      <w:tblGrid>
        <w:gridCol w:w="1944"/>
        <w:gridCol w:w="4464"/>
        <w:gridCol w:w="3816"/>
      </w:tblGrid>
      <w:tr>
        <w:trPr>
          <w:tblHeader w:val="true"/>
        </w:trPr>
        <w:tc>
          <w:tcPr>
            <w:tcW w:type="dxa" w:w="3408"/>
            <w:shd w:fill="FFE1D1"/>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Channel</w:t>
            </w:r>
          </w:p>
        </w:tc>
        <w:tc>
          <w:tcPr>
            <w:tcW w:type="dxa" w:w="3408"/>
            <w:shd w:fill="FFE1D1"/>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Offer</w:t>
            </w:r>
          </w:p>
        </w:tc>
        <w:tc>
          <w:tcPr>
            <w:tcW w:type="dxa" w:w="3408"/>
            <w:shd w:fill="FFE1D1"/>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Release condition</w:t>
            </w:r>
          </w:p>
        </w:tc>
      </w:tr>
      <w:tr>
        <w:trPr>
          <w:cantSplit/>
        </w:trPr>
        <w:tc>
          <w:tcPr>
            <w:tcW w:type="dxa" w:w="1944"/>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B2C</w:t>
            </w:r>
          </w:p>
        </w:tc>
        <w:tc>
          <w:tcPr>
            <w:tcW w:type="dxa" w:w="4464"/>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Free core with possible paid programs or learning support features</w:t>
            </w:r>
          </w:p>
        </w:tc>
        <w:tc>
          <w:tcPr>
            <w:tcW w:type="dxa" w:w="3816"/>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Evidence of retention and value without dark patterns</w:t>
            </w:r>
          </w:p>
        </w:tc>
      </w:tr>
      <w:tr>
        <w:trPr>
          <w:cantSplit/>
        </w:trPr>
        <w:tc>
          <w:tcPr>
            <w:tcW w:type="dxa" w:w="1944"/>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B2B2C white-label</w:t>
            </w:r>
          </w:p>
        </w:tc>
        <w:tc>
          <w:tcPr>
            <w:tcW w:type="dxa" w:w="4464"/>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Programs for communities, educators, and organizations</w:t>
            </w:r>
          </w:p>
        </w:tc>
        <w:tc>
          <w:tcPr>
            <w:tcW w:type="dxa" w:w="3816"/>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Pilot, data isolation, service levels, and clear administrator roles</w:t>
            </w:r>
          </w:p>
        </w:tc>
      </w:tr>
      <w:tr>
        <w:trPr>
          <w:cantSplit/>
        </w:trPr>
        <w:tc>
          <w:tcPr>
            <w:tcW w:type="dxa" w:w="1944"/>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Partnerships</w:t>
            </w:r>
          </w:p>
        </w:tc>
        <w:tc>
          <w:tcPr>
            <w:tcW w:type="dxa" w:w="4464"/>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Content or offers in a separate and clearly sponsored area</w:t>
            </w:r>
          </w:p>
        </w:tc>
        <w:tc>
          <w:tcPr>
            <w:tcW w:type="dxa" w:w="3816"/>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No commission-based ranking and no placement in Kids or Teen</w:t>
            </w:r>
          </w:p>
        </w:tc>
      </w:tr>
      <w:tr>
        <w:trPr>
          <w:cantSplit/>
        </w:trPr>
        <w:tc>
          <w:tcPr>
            <w:tcW w:type="dxa" w:w="1944"/>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Ecosystem</w:t>
            </w:r>
          </w:p>
        </w:tc>
        <w:tc>
          <w:tcPr>
            <w:tcW w:type="dxa" w:w="4464"/>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Technical support, grants, and infrastructure collaboration</w:t>
            </w:r>
          </w:p>
        </w:tc>
        <w:tc>
          <w:tcPr>
            <w:tcW w:type="dxa" w:w="3816"/>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No sponsor control over learning criteria</w:t>
            </w:r>
          </w:p>
        </w:tc>
      </w:tr>
    </w:tbl>
    <w:p>
      <w:pPr>
        <w:spacing w:after="0"/>
      </w:pPr>
    </w:p>
    <w:p>
      <w:pPr>
        <w:pStyle w:val="Heading2"/>
      </w:pPr>
      <w:r>
        <w:t>Go to market</w:t>
      </w:r>
    </w:p>
    <w:p>
      <w:pPr>
        <w:pStyle w:val="ListBullet"/>
      </w:pPr>
      <w:r>
        <w:rPr>
          <w:rFonts w:ascii="Nunito" w:hAnsi="Nunito" w:eastAsia="Nunito"/>
          <w:color w:val="1E1B2E"/>
          <w:sz w:val="20"/>
        </w:rPr>
        <w:t>Use the founder's education community as the first distribution channel and source of user interviews.</w:t>
      </w:r>
    </w:p>
    <w:p>
      <w:pPr>
        <w:pStyle w:val="ListBullet"/>
      </w:pPr>
      <w:r>
        <w:rPr>
          <w:rFonts w:ascii="Nunito" w:hAnsi="Nunito" w:eastAsia="Nunito"/>
          <w:color w:val="1E1B2E"/>
          <w:sz w:val="20"/>
        </w:rPr>
        <w:t>Run narrow pilots with one audience and one learning outcome before broad deployment.</w:t>
      </w:r>
    </w:p>
    <w:p>
      <w:pPr>
        <w:pStyle w:val="ListBullet"/>
      </w:pPr>
      <w:r>
        <w:rPr>
          <w:rFonts w:ascii="Nunito" w:hAnsi="Nunito" w:eastAsia="Nunito"/>
          <w:color w:val="1E1B2E"/>
          <w:sz w:val="20"/>
        </w:rPr>
        <w:t>Start white-label delivery only after defining data roles, content quality, and support responsibilities.</w:t>
      </w:r>
    </w:p>
    <w:p>
      <w:pPr>
        <w:pStyle w:val="ListBullet"/>
      </w:pPr>
      <w:r>
        <w:rPr>
          <w:rFonts w:ascii="Nunito" w:hAnsi="Nunito" w:eastAsia="Nunito"/>
          <w:color w:val="1E1B2E"/>
          <w:sz w:val="20"/>
        </w:rPr>
        <w:t>Publish case studies with methods and limitations rather than registration counts alone.</w:t>
      </w:r>
    </w:p>
    <w:p>
      <w:pPr>
        <w:pStyle w:val="Heading2"/>
      </w:pPr>
      <w:r>
        <w:t>Claim discipline</w:t>
      </w:r>
    </w:p>
    <w:p>
      <w:r>
        <w:rPr>
          <w:rFonts w:ascii="Nunito" w:hAnsi="Nunito" w:eastAsia="Nunito"/>
          <w:color w:val="1E1B2E"/>
          <w:sz w:val="20"/>
        </w:rPr>
        <w:t>Project materials cite 12,000 clients and 120 planners on the side of a prospective partner. These figures are not CoachFI traction. They should not be presented as product users without independent evidence and an active pilot.</w:t>
      </w:r>
    </w:p>
    <w:p>
      <w:r>
        <w:br w:type="page"/>
      </w:r>
    </w:p>
    <w:p>
      <w:pPr>
        <w:spacing w:after="60"/>
      </w:pPr>
      <w:r>
        <w:rPr>
          <w:rFonts w:ascii="Nunito" w:hAnsi="Nunito" w:eastAsia="Nunito"/>
          <w:b/>
          <w:color w:val="5B4BC4"/>
          <w:sz w:val="18"/>
        </w:rPr>
        <w:t>12  IMPACT MEASUREMENT</w:t>
      </w:r>
    </w:p>
    <w:p>
      <w:pPr>
        <w:pStyle w:val="Heading1"/>
        <w:spacing w:after="100"/>
      </w:pPr>
      <w:r>
        <w:t>Measure learning and action rather than vanity metrics</w:t>
      </w:r>
    </w:p>
    <w:p>
      <w:pPr>
        <w:spacing w:after="180" w:line="259" w:lineRule="auto"/>
      </w:pPr>
      <w:r>
        <w:rPr>
          <w:rFonts w:ascii="Nunito" w:hAnsi="Nunito" w:eastAsia="Nunito"/>
          <w:b w:val="0"/>
          <w:color w:val="4A4560"/>
          <w:sz w:val="23"/>
        </w:rPr>
        <w:t>The CoachFI north-star metric is weekly users who complete at least one real educational action or lesson. It links product use with value and does not reward time spent in the application by itself.</w:t>
      </w:r>
    </w:p>
    <w:tbl>
      <w:tblPr>
        <w:tblW w:type="auto" w:w="0"/>
        <w:jc w:val="center"/>
        <w:tblLayout w:type="fixed"/>
        <w:tblLook w:firstColumn="1" w:firstRow="1" w:lastColumn="0" w:lastRow="0" w:noHBand="0" w:noVBand="1" w:val="04A0"/>
      </w:tblPr>
      <w:tblGrid>
        <w:gridCol w:w="2160"/>
        <w:gridCol w:w="8064"/>
      </w:tblGrid>
      <w:tr>
        <w:trPr>
          <w:tblHeader w:val="true"/>
        </w:trPr>
        <w:tc>
          <w:tcPr>
            <w:tcW w:type="dxa" w:w="5112"/>
            <w:shd w:fill="D5F3E5"/>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Area</w:t>
            </w:r>
          </w:p>
        </w:tc>
        <w:tc>
          <w:tcPr>
            <w:tcW w:type="dxa" w:w="5112"/>
            <w:shd w:fill="D5F3E5"/>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Definition</w:t>
            </w:r>
          </w:p>
        </w:tc>
      </w:tr>
      <w:tr>
        <w:trPr>
          <w:cantSplit/>
        </w:trPr>
        <w:tc>
          <w:tcPr>
            <w:tcW w:type="dxa" w:w="2160"/>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Activation</w:t>
            </w:r>
          </w:p>
        </w:tc>
        <w:tc>
          <w:tcPr>
            <w:tcW w:type="dxa" w:w="8064"/>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The user completes onboarding and a first small action or lesson.</w:t>
            </w:r>
          </w:p>
        </w:tc>
      </w:tr>
      <w:tr>
        <w:trPr>
          <w:cantSplit/>
        </w:trPr>
        <w:tc>
          <w:tcPr>
            <w:tcW w:type="dxa" w:w="2160"/>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Learning</w:t>
            </w:r>
          </w:p>
        </w:tc>
        <w:tc>
          <w:tcPr>
            <w:tcW w:type="dxa" w:w="8064"/>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Pre and post change, answer retention over time, and correctly completed scenarios.</w:t>
            </w:r>
          </w:p>
        </w:tc>
      </w:tr>
      <w:tr>
        <w:trPr>
          <w:cantSplit/>
        </w:trPr>
        <w:tc>
          <w:tcPr>
            <w:tcW w:type="dxa" w:w="2160"/>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Habit</w:t>
            </w:r>
          </w:p>
        </w:tc>
        <w:tc>
          <w:tcPr>
            <w:tcW w:type="dxa" w:w="8064"/>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Return and action without streak pressure, plus the use of optional reminders.</w:t>
            </w:r>
          </w:p>
        </w:tc>
      </w:tr>
      <w:tr>
        <w:trPr>
          <w:cantSplit/>
        </w:trPr>
        <w:tc>
          <w:tcPr>
            <w:tcW w:type="dxa" w:w="2160"/>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Accessibility</w:t>
            </w:r>
          </w:p>
        </w:tc>
        <w:tc>
          <w:tcPr>
            <w:tcW w:type="dxa" w:w="8064"/>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Completion with keyboard or screen reader, focus errors, transcript use, and reduced motion.</w:t>
            </w:r>
          </w:p>
        </w:tc>
      </w:tr>
      <w:tr>
        <w:trPr>
          <w:cantSplit/>
        </w:trPr>
        <w:tc>
          <w:tcPr>
            <w:tcW w:type="dxa" w:w="2160"/>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Safety</w:t>
            </w:r>
          </w:p>
        </w:tc>
        <w:tc>
          <w:tcPr>
            <w:tcW w:type="dxa" w:w="8064"/>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Refusals in risk categories, reported AI errors, data incidents, and correction time.</w:t>
            </w:r>
          </w:p>
        </w:tc>
      </w:tr>
      <w:tr>
        <w:trPr>
          <w:cantSplit/>
        </w:trPr>
        <w:tc>
          <w:tcPr>
            <w:tcW w:type="dxa" w:w="2160"/>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Devnet</w:t>
            </w:r>
          </w:p>
        </w:tc>
        <w:tc>
          <w:tcPr>
            <w:tcW w:type="dxa" w:w="8064"/>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Mint success rate, confirmation time, duplicates, owner match, and evidence-register completeness.</w:t>
            </w:r>
          </w:p>
        </w:tc>
      </w:tr>
    </w:tbl>
    <w:p>
      <w:pPr>
        <w:spacing w:after="0"/>
      </w:pPr>
    </w:p>
    <w:p>
      <w:pPr>
        <w:pStyle w:val="Heading2"/>
      </w:pPr>
      <w:r>
        <w:t>Experiment standard</w:t>
      </w:r>
    </w:p>
    <w:p>
      <w:r>
        <w:rPr>
          <w:rFonts w:ascii="Nunito" w:hAnsi="Nunito" w:eastAsia="Nunito"/>
          <w:color w:val="1E1B2E"/>
          <w:sz w:val="20"/>
        </w:rPr>
        <w:t>Every pilot defines its hypothesis, population, events, measurement window, and decision rule before launch. Reporting includes attrition, missing data, and accessibility segments. CoachFI does not claim an improvement in financial outcomes without an appropriate study design.</w:t>
      </w:r>
    </w:p>
    <w:p>
      <w:pPr>
        <w:pStyle w:val="ListBullet"/>
      </w:pPr>
      <w:r>
        <w:rPr>
          <w:rFonts w:ascii="Nunito" w:hAnsi="Nunito" w:eastAsia="Nunito"/>
          <w:color w:val="1E1B2E"/>
          <w:sz w:val="20"/>
        </w:rPr>
        <w:t>Do not optimize for more time in the app without an educational reason.</w:t>
      </w:r>
    </w:p>
    <w:p>
      <w:pPr>
        <w:pStyle w:val="ListBullet"/>
      </w:pPr>
      <w:r>
        <w:rPr>
          <w:rFonts w:ascii="Nunito" w:hAnsi="Nunito" w:eastAsia="Nunito"/>
          <w:color w:val="1E1B2E"/>
          <w:sz w:val="20"/>
        </w:rPr>
        <w:t>A certificate measures completion of a rule, not the quality of later financial decisions.</w:t>
      </w:r>
    </w:p>
    <w:p>
      <w:pPr>
        <w:pStyle w:val="ListBullet"/>
      </w:pPr>
      <w:r>
        <w:rPr>
          <w:rFonts w:ascii="Nunito" w:hAnsi="Nunito" w:eastAsia="Nunito"/>
          <w:color w:val="1E1B2E"/>
          <w:sz w:val="20"/>
        </w:rPr>
        <w:t>Partner reach and waitlist size remain separate from active product use.</w:t>
      </w:r>
    </w:p>
    <w:p>
      <w:r>
        <w:br w:type="page"/>
      </w:r>
    </w:p>
    <w:p>
      <w:pPr>
        <w:spacing w:after="60"/>
      </w:pPr>
      <w:r>
        <w:rPr>
          <w:rFonts w:ascii="Nunito" w:hAnsi="Nunito" w:eastAsia="Nunito"/>
          <w:b/>
          <w:color w:val="5B4BC4"/>
          <w:sz w:val="18"/>
        </w:rPr>
        <w:t>13  ROADMAP</w:t>
      </w:r>
    </w:p>
    <w:p>
      <w:pPr>
        <w:pStyle w:val="Heading1"/>
        <w:spacing w:after="100"/>
      </w:pPr>
      <w:r>
        <w:t>From an operating Devnet flow to controlled scale</w:t>
      </w:r>
    </w:p>
    <w:p>
      <w:pPr>
        <w:spacing w:after="180" w:line="259" w:lineRule="auto"/>
      </w:pPr>
      <w:r>
        <w:rPr>
          <w:rFonts w:ascii="Nunito" w:hAnsi="Nunito" w:eastAsia="Nunito"/>
          <w:b w:val="0"/>
          <w:color w:val="4A4560"/>
          <w:sz w:val="23"/>
        </w:rPr>
        <w:t>The roadmap is stage-based. Progress depends on evidence of quality, safety, and usability rather than date alone.</w:t>
      </w:r>
    </w:p>
    <w:tbl>
      <w:tblPr>
        <w:tblW w:type="auto" w:w="0"/>
        <w:jc w:val="center"/>
        <w:tblLayout w:type="fixed"/>
        <w:tblLook w:firstColumn="1" w:firstRow="1" w:lastColumn="0" w:lastRow="0" w:noHBand="0" w:noVBand="1" w:val="04A0"/>
      </w:tblPr>
      <w:tblGrid>
        <w:gridCol w:w="1728"/>
        <w:gridCol w:w="4968"/>
        <w:gridCol w:w="3528"/>
      </w:tblGrid>
      <w:tr>
        <w:trPr>
          <w:tblHeader w:val="true"/>
        </w:trPr>
        <w:tc>
          <w:tcPr>
            <w:tcW w:type="dxa" w:w="3408"/>
            <w:shd w:fill="EBE1FF"/>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Horizon</w:t>
            </w:r>
          </w:p>
        </w:tc>
        <w:tc>
          <w:tcPr>
            <w:tcW w:type="dxa" w:w="3408"/>
            <w:shd w:fill="EBE1FF"/>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Outcome</w:t>
            </w:r>
          </w:p>
        </w:tc>
        <w:tc>
          <w:tcPr>
            <w:tcW w:type="dxa" w:w="3408"/>
            <w:shd w:fill="EBE1FF"/>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Gate</w:t>
            </w:r>
          </w:p>
        </w:tc>
      </w:tr>
      <w:tr>
        <w:trPr>
          <w:cantSplit/>
        </w:trPr>
        <w:tc>
          <w:tcPr>
            <w:tcW w:type="dxa" w:w="1728"/>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Now  October 2026</w:t>
            </w:r>
          </w:p>
        </w:tc>
        <w:tc>
          <w:tcPr>
            <w:tcW w:type="dxa" w:w="4968"/>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Public MVP and operating Devnet flow; publish one complete transaction and asset example</w:t>
            </w:r>
          </w:p>
        </w:tc>
        <w:tc>
          <w:tcPr>
            <w:tcW w:type="dxa" w:w="3528"/>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Reproducible Explorer evidence and an issue register</w:t>
            </w:r>
          </w:p>
        </w:tc>
      </w:tr>
      <w:tr>
        <w:trPr>
          <w:cantSplit/>
        </w:trPr>
        <w:tc>
          <w:tcPr>
            <w:tcW w:type="dxa" w:w="1728"/>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Q4 2026</w:t>
            </w:r>
          </w:p>
        </w:tc>
        <w:tc>
          <w:tcPr>
            <w:tcW w:type="dxa" w:w="4968"/>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Stronger achievement rules, metadata, optional wallet, and continued Mila development</w:t>
            </w:r>
          </w:p>
        </w:tc>
        <w:tc>
          <w:tcPr>
            <w:tcW w:type="dxa" w:w="3528"/>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Security, content, consent, and accessibility review</w:t>
            </w:r>
          </w:p>
        </w:tc>
      </w:tr>
      <w:tr>
        <w:trPr>
          <w:cantSplit/>
        </w:trPr>
        <w:tc>
          <w:tcPr>
            <w:tcW w:type="dxa" w:w="1728"/>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Q1 2027</w:t>
            </w:r>
          </w:p>
        </w:tc>
        <w:tc>
          <w:tcPr>
            <w:tcW w:type="dxa" w:w="4968"/>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Narrow white-label pilot</w:t>
            </w:r>
          </w:p>
        </w:tc>
        <w:tc>
          <w:tcPr>
            <w:tcW w:type="dxa" w:w="3528"/>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Data agreement, baseline, success criteria, and support model</w:t>
            </w:r>
          </w:p>
        </w:tc>
      </w:tr>
      <w:tr>
        <w:trPr>
          <w:cantSplit/>
        </w:trPr>
        <w:tc>
          <w:tcPr>
            <w:tcW w:type="dxa" w:w="1728"/>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Q2-H2 2027</w:t>
            </w:r>
          </w:p>
        </w:tc>
        <w:tc>
          <w:tcPr>
            <w:tcW w:type="dxa" w:w="4968"/>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Country-aware content, staged localization toward 32 languages, and exploration of regulated partners</w:t>
            </w:r>
          </w:p>
        </w:tc>
        <w:tc>
          <w:tcPr>
            <w:tcW w:type="dxa" w:w="3528"/>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Sources by jurisdiction, legal review, and translation quality evidence</w:t>
            </w:r>
          </w:p>
        </w:tc>
      </w:tr>
      <w:tr>
        <w:trPr>
          <w:cantSplit/>
        </w:trPr>
        <w:tc>
          <w:tcPr>
            <w:tcW w:type="dxa" w:w="1728"/>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Later</w:t>
            </w:r>
          </w:p>
        </w:tc>
        <w:tc>
          <w:tcPr>
            <w:tcW w:type="dxa" w:w="4968"/>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Consider mainnet</w:t>
            </w:r>
          </w:p>
        </w:tc>
        <w:tc>
          <w:tcPr>
            <w:tcW w:type="dxa" w:w="3528"/>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Technical audit, cost model, key management, privacy review, legal review, and incident plan</w:t>
            </w:r>
          </w:p>
        </w:tc>
      </w:tr>
    </w:tbl>
    <w:p>
      <w:pPr>
        <w:spacing w:after="0"/>
      </w:pPr>
    </w:p>
    <w:p>
      <w:pPr>
        <w:pStyle w:val="Heading2"/>
      </w:pPr>
      <w:r>
        <w:t>Decisions the roadmap does not make</w:t>
      </w:r>
    </w:p>
    <w:p>
      <w:pPr>
        <w:pStyle w:val="ListBullet"/>
      </w:pPr>
      <w:r>
        <w:rPr>
          <w:rFonts w:ascii="Nunito" w:hAnsi="Nunito" w:eastAsia="Nunito"/>
          <w:color w:val="1E1B2E"/>
          <w:sz w:val="20"/>
        </w:rPr>
        <w:t>It does not assume a CoachFI token or the sale of certificates.</w:t>
      </w:r>
    </w:p>
    <w:p>
      <w:pPr>
        <w:pStyle w:val="ListBullet"/>
      </w:pPr>
      <w:r>
        <w:rPr>
          <w:rFonts w:ascii="Nunito" w:hAnsi="Nunito" w:eastAsia="Nunito"/>
          <w:color w:val="1E1B2E"/>
          <w:sz w:val="20"/>
        </w:rPr>
        <w:t>It does not name a deployed NFT standard before implementation evidence is public.</w:t>
      </w:r>
    </w:p>
    <w:p>
      <w:pPr>
        <w:pStyle w:val="ListBullet"/>
      </w:pPr>
      <w:r>
        <w:rPr>
          <w:rFonts w:ascii="Nunito" w:hAnsi="Nunito" w:eastAsia="Nunito"/>
          <w:color w:val="1E1B2E"/>
          <w:sz w:val="20"/>
        </w:rPr>
        <w:t>It does not launch Kids or Teen without separate content, privacy, and safety validation.</w:t>
      </w:r>
    </w:p>
    <w:p>
      <w:pPr>
        <w:pStyle w:val="ListBullet"/>
      </w:pPr>
      <w:r>
        <w:rPr>
          <w:rFonts w:ascii="Nunito" w:hAnsi="Nunito" w:eastAsia="Nunito"/>
          <w:color w:val="1E1B2E"/>
          <w:sz w:val="20"/>
        </w:rPr>
        <w:t>It does not move educational data on-chain in pursuit of full decentralization.</w:t>
      </w:r>
    </w:p>
    <w:p>
      <w:r>
        <w:rPr>
          <w:rFonts w:ascii="Nunito" w:hAnsi="Nunito" w:eastAsia="Nunito"/>
          <w:color w:val="1E1B2E"/>
          <w:sz w:val="20"/>
        </w:rPr>
        <w:t>Each stage should end with a documented decision to scale, improve, or stop, supported by the evidence collected during that stage.</w:t>
      </w:r>
    </w:p>
    <w:p>
      <w:r>
        <w:br w:type="page"/>
      </w:r>
    </w:p>
    <w:p>
      <w:pPr>
        <w:spacing w:after="60"/>
      </w:pPr>
      <w:r>
        <w:rPr>
          <w:rFonts w:ascii="Nunito" w:hAnsi="Nunito" w:eastAsia="Nunito"/>
          <w:b/>
          <w:color w:val="5B4BC4"/>
          <w:sz w:val="18"/>
        </w:rPr>
        <w:t>14  RISK REGISTER</w:t>
      </w:r>
    </w:p>
    <w:p>
      <w:pPr>
        <w:pStyle w:val="Heading1"/>
        <w:spacing w:after="100"/>
      </w:pPr>
      <w:r>
        <w:t>Risks, controls, and release gates</w:t>
      </w:r>
    </w:p>
    <w:p>
      <w:pPr>
        <w:spacing w:after="180" w:line="259" w:lineRule="auto"/>
      </w:pPr>
      <w:r>
        <w:rPr>
          <w:rFonts w:ascii="Nunito" w:hAnsi="Nunito" w:eastAsia="Nunito"/>
          <w:b w:val="0"/>
          <w:color w:val="4A4560"/>
          <w:sz w:val="23"/>
        </w:rPr>
        <w:t>CoachFI combines finance, AI, personal data, younger audiences, and a public blockchain. Controls for these risks belong in the product plan and must be assigned to accountable owners.</w:t>
      </w:r>
    </w:p>
    <w:tbl>
      <w:tblPr>
        <w:tblW w:type="auto" w:w="0"/>
        <w:jc w:val="center"/>
        <w:tblLayout w:type="fixed"/>
        <w:tblLook w:firstColumn="1" w:firstRow="1" w:lastColumn="0" w:lastRow="0" w:noHBand="0" w:noVBand="1" w:val="04A0"/>
      </w:tblPr>
      <w:tblGrid>
        <w:gridCol w:w="2376"/>
        <w:gridCol w:w="4536"/>
        <w:gridCol w:w="3312"/>
      </w:tblGrid>
      <w:tr>
        <w:trPr>
          <w:tblHeader w:val="true"/>
        </w:trPr>
        <w:tc>
          <w:tcPr>
            <w:tcW w:type="dxa" w:w="3408"/>
            <w:shd w:fill="FFD9EF"/>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Risk</w:t>
            </w:r>
          </w:p>
        </w:tc>
        <w:tc>
          <w:tcPr>
            <w:tcW w:type="dxa" w:w="3408"/>
            <w:shd w:fill="FFD9EF"/>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Control</w:t>
            </w:r>
          </w:p>
        </w:tc>
        <w:tc>
          <w:tcPr>
            <w:tcW w:type="dxa" w:w="3408"/>
            <w:shd w:fill="FFD9EF"/>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Gate before scale</w:t>
            </w:r>
          </w:p>
        </w:tc>
      </w:tr>
      <w:tr>
        <w:trPr>
          <w:cantSplit/>
        </w:trPr>
        <w:tc>
          <w:tcPr>
            <w:tcW w:type="dxa" w:w="2376"/>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AI error or advice</w:t>
            </w:r>
          </w:p>
        </w:tc>
        <w:tc>
          <w:tcPr>
            <w:tcW w:type="dxa" w:w="4536"/>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Knowledge cards, refusals, tests, human review</w:t>
            </w:r>
          </w:p>
        </w:tc>
        <w:tc>
          <w:tcPr>
            <w:tcW w:type="dxa" w:w="3312"/>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Regulatory and quality review</w:t>
            </w:r>
          </w:p>
        </w:tc>
      </w:tr>
      <w:tr>
        <w:trPr>
          <w:cantSplit/>
        </w:trPr>
        <w:tc>
          <w:tcPr>
            <w:tcW w:type="dxa" w:w="2376"/>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Data disclosure</w:t>
            </w:r>
          </w:p>
        </w:tc>
        <w:tc>
          <w:tcPr>
            <w:tcW w:type="dxa" w:w="4536"/>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Minimization, log redaction, separate consent</w:t>
            </w:r>
          </w:p>
        </w:tc>
        <w:tc>
          <w:tcPr>
            <w:tcW w:type="dxa" w:w="3312"/>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Privacy assessment appropriate to scope</w:t>
            </w:r>
          </w:p>
        </w:tc>
      </w:tr>
      <w:tr>
        <w:trPr>
          <w:cantSplit/>
        </w:trPr>
        <w:tc>
          <w:tcPr>
            <w:tcW w:type="dxa" w:w="2376"/>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On-chain permanence</w:t>
            </w:r>
          </w:p>
        </w:tc>
        <w:tc>
          <w:tcPr>
            <w:tcW w:type="dxa" w:w="4536"/>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Minimal metadata and preview before signature</w:t>
            </w:r>
          </w:p>
        </w:tc>
        <w:tc>
          <w:tcPr>
            <w:tcW w:type="dxa" w:w="3312"/>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User testing of the consent explanation</w:t>
            </w:r>
          </w:p>
        </w:tc>
      </w:tr>
      <w:tr>
        <w:trPr>
          <w:cantSplit/>
        </w:trPr>
        <w:tc>
          <w:tcPr>
            <w:tcW w:type="dxa" w:w="2376"/>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Wallet phishing</w:t>
            </w:r>
          </w:p>
        </w:tc>
        <w:tc>
          <w:tcPr>
            <w:tcW w:type="dxa" w:w="4536"/>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No seed phrase request, clear domain, owner verification</w:t>
            </w:r>
          </w:p>
        </w:tc>
        <w:tc>
          <w:tcPr>
            <w:tcW w:type="dxa" w:w="3312"/>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Threat model and security test</w:t>
            </w:r>
          </w:p>
        </w:tc>
      </w:tr>
      <w:tr>
        <w:trPr>
          <w:cantSplit/>
        </w:trPr>
        <w:tc>
          <w:tcPr>
            <w:tcW w:type="dxa" w:w="2376"/>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Unsupported claims</w:t>
            </w:r>
          </w:p>
        </w:tc>
        <w:tc>
          <w:tcPr>
            <w:tcW w:type="dxa" w:w="4536"/>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Evidence register and claim owner</w:t>
            </w:r>
          </w:p>
        </w:tc>
        <w:tc>
          <w:tcPr>
            <w:tcW w:type="dxa" w:w="3312"/>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Transaction and asset before verified language</w:t>
            </w:r>
          </w:p>
        </w:tc>
      </w:tr>
      <w:tr>
        <w:trPr>
          <w:cantSplit/>
        </w:trPr>
        <w:tc>
          <w:tcPr>
            <w:tcW w:type="dxa" w:w="2376"/>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Kids and Teen</w:t>
            </w:r>
          </w:p>
        </w:tc>
        <w:tc>
          <w:tcPr>
            <w:tcW w:type="dxa" w:w="4536"/>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Parent controls, closed content, no ads or open AI</w:t>
            </w:r>
          </w:p>
        </w:tc>
        <w:tc>
          <w:tcPr>
            <w:tcW w:type="dxa" w:w="3312"/>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Legal, child-safety, and accessibility review</w:t>
            </w:r>
          </w:p>
        </w:tc>
      </w:tr>
      <w:tr>
        <w:trPr>
          <w:cantSplit/>
        </w:trPr>
        <w:tc>
          <w:tcPr>
            <w:tcW w:type="dxa" w:w="2376"/>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Provider failure</w:t>
            </w:r>
          </w:p>
        </w:tc>
        <w:tc>
          <w:tcPr>
            <w:tcW w:type="dxa" w:w="4536"/>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Service abstraction, text fallback, data export</w:t>
            </w:r>
          </w:p>
        </w:tc>
        <w:tc>
          <w:tcPr>
            <w:tcW w:type="dxa" w:w="3312"/>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Continuity plan and recovery test</w:t>
            </w:r>
          </w:p>
        </w:tc>
      </w:tr>
    </w:tbl>
    <w:p>
      <w:pPr>
        <w:spacing w:after="0"/>
      </w:pPr>
    </w:p>
    <w:p>
      <w:pPr>
        <w:pStyle w:val="Heading2"/>
      </w:pPr>
      <w:r>
        <w:t>Trust gate status</w:t>
      </w:r>
    </w:p>
    <w:p>
      <w:r>
        <w:rPr>
          <w:rFonts w:ascii="Nunito" w:hAnsi="Nunito" w:eastAsia="Nunito"/>
          <w:color w:val="1E1B2E"/>
          <w:sz w:val="20"/>
        </w:rPr>
        <w:t>This White Paper is rated CONDITIONAL / AMBER. It is suitable for discussion and presentation while it keeps the current Adult/US/English scope separate from future markets, education separate from regulated advice, and the operating Devnet flow separate from public evidence of a named mint. Legal, privacy, security, and accessibility reviews are required before contractual or campaign use.</w:t>
      </w:r>
    </w:p>
    <w:p>
      <w:r>
        <w:br w:type="page"/>
      </w:r>
    </w:p>
    <w:p>
      <w:pPr>
        <w:spacing w:after="60"/>
      </w:pPr>
      <w:r>
        <w:rPr>
          <w:rFonts w:ascii="Nunito" w:hAnsi="Nunito" w:eastAsia="Nunito"/>
          <w:b/>
          <w:color w:val="5B4BC4"/>
          <w:sz w:val="18"/>
        </w:rPr>
        <w:t>15  TEAM AND ECOSYSTEM</w:t>
      </w:r>
    </w:p>
    <w:p>
      <w:pPr>
        <w:pStyle w:val="Heading1"/>
        <w:spacing w:after="100"/>
      </w:pPr>
      <w:r>
        <w:t>Build product evidence and trust in parallel</w:t>
      </w:r>
    </w:p>
    <w:p>
      <w:pPr>
        <w:spacing w:after="180" w:line="259" w:lineRule="auto"/>
      </w:pPr>
      <w:r>
        <w:rPr>
          <w:rFonts w:ascii="Nunito" w:hAnsi="Nunito" w:eastAsia="Nunito"/>
          <w:b w:val="0"/>
          <w:color w:val="4A4560"/>
          <w:sz w:val="23"/>
        </w:rPr>
        <w:t>CoachFI combines educational distribution, product design, AI, and Solana integration. Team roles should remain clear, and missing competencies should be covered through specialist review and partnerships.</w:t>
      </w:r>
    </w:p>
    <w:tbl>
      <w:tblPr>
        <w:tblW w:type="auto" w:w="0"/>
        <w:jc w:val="center"/>
        <w:tblLayout w:type="fixed"/>
        <w:tblLook w:firstColumn="1" w:firstRow="1" w:lastColumn="0" w:lastRow="0" w:noHBand="0" w:noVBand="1" w:val="04A0"/>
      </w:tblPr>
      <w:tblGrid>
        <w:gridCol w:w="3024"/>
        <w:gridCol w:w="7200"/>
      </w:tblGrid>
      <w:tr>
        <w:trPr>
          <w:tblHeader w:val="true"/>
        </w:trPr>
        <w:tc>
          <w:tcPr>
            <w:tcW w:type="dxa" w:w="5112"/>
            <w:shd w:fill="DDE6FF"/>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Person or area</w:t>
            </w:r>
          </w:p>
        </w:tc>
        <w:tc>
          <w:tcPr>
            <w:tcW w:type="dxa" w:w="5112"/>
            <w:shd w:fill="DDE6FF"/>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Responsibility</w:t>
            </w:r>
          </w:p>
        </w:tc>
      </w:tr>
      <w:tr>
        <w:trPr>
          <w:cantSplit/>
        </w:trPr>
        <w:tc>
          <w:tcPr>
            <w:tcW w:type="dxa" w:w="3024"/>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Dorian Żaczek — Founder</w:t>
            </w:r>
          </w:p>
        </w:tc>
        <w:tc>
          <w:tcPr>
            <w:tcW w:type="dxa" w:w="7200"/>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Product vision, education, user experience, distribution, and partnerships through the DORIANOS and ZŁAP TREND ecosystem.</w:t>
            </w:r>
          </w:p>
        </w:tc>
      </w:tr>
      <w:tr>
        <w:trPr>
          <w:cantSplit/>
        </w:trPr>
        <w:tc>
          <w:tcPr>
            <w:tcW w:type="dxa" w:w="3024"/>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Mieszko — Solana Developer</w:t>
            </w:r>
          </w:p>
        </w:tc>
        <w:tc>
          <w:tcPr>
            <w:tcW w:type="dxa" w:w="7200"/>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Wallet and Devnet integration, certificate issuance, the evidence register, and blockchain-flow security.</w:t>
            </w:r>
          </w:p>
        </w:tc>
      </w:tr>
      <w:tr>
        <w:trPr>
          <w:cantSplit/>
        </w:trPr>
        <w:tc>
          <w:tcPr>
            <w:tcW w:type="dxa" w:w="3024"/>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Roles to add</w:t>
            </w:r>
          </w:p>
        </w:tc>
        <w:tc>
          <w:tcPr>
            <w:tcW w:type="dxa" w:w="7200"/>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Legal and privacy review, child safety, accessibility testing, security engineering, and independent learning-outcome validation.</w:t>
            </w:r>
          </w:p>
        </w:tc>
      </w:tr>
    </w:tbl>
    <w:p>
      <w:pPr>
        <w:spacing w:after="0"/>
      </w:pPr>
    </w:p>
    <w:p>
      <w:pPr>
        <w:pStyle w:val="Heading2"/>
      </w:pPr>
      <w:r>
        <w:t>Why Colosseum</w:t>
      </w:r>
    </w:p>
    <w:p>
      <w:r>
        <w:rPr>
          <w:rFonts w:ascii="Nunito" w:hAnsi="Nunito" w:eastAsia="Nunito"/>
          <w:color w:val="1E1B2E"/>
          <w:sz w:val="20"/>
        </w:rPr>
        <w:t>CoachFI brings Solana a use case outside speculation: a voluntary and publicly verifiable record of an educational achievement. Ecosystem support can strengthen the mint architecture, standard selection, Devnet and mainnet reliability, and access to pilot partners.</w:t>
      </w:r>
    </w:p>
    <w:p>
      <w:pPr>
        <w:pStyle w:val="Heading2"/>
      </w:pPr>
      <w:r>
        <w:t>Current ask</w:t>
      </w:r>
    </w:p>
    <w:p>
      <w:pPr>
        <w:pStyle w:val="ListBullet"/>
      </w:pPr>
      <w:r>
        <w:rPr>
          <w:rFonts w:ascii="Nunito" w:hAnsi="Nunito" w:eastAsia="Nunito"/>
          <w:color w:val="1E1B2E"/>
          <w:sz w:val="20"/>
        </w:rPr>
        <w:t>Partners for narrow education and white-label pilots.</w:t>
      </w:r>
    </w:p>
    <w:p>
      <w:pPr>
        <w:pStyle w:val="ListBullet"/>
      </w:pPr>
      <w:r>
        <w:rPr>
          <w:rFonts w:ascii="Nunito" w:hAnsi="Nunito" w:eastAsia="Nunito"/>
          <w:color w:val="1E1B2E"/>
          <w:sz w:val="20"/>
        </w:rPr>
        <w:t>Technical support to select and audit the certificate standard and transfer behavior.</w:t>
      </w:r>
    </w:p>
    <w:p>
      <w:pPr>
        <w:pStyle w:val="ListBullet"/>
      </w:pPr>
      <w:r>
        <w:rPr>
          <w:rFonts w:ascii="Nunito" w:hAnsi="Nunito" w:eastAsia="Nunito"/>
          <w:color w:val="1E1B2E"/>
          <w:sz w:val="20"/>
        </w:rPr>
        <w:t>Mentoring on on-chain privacy, key management, and mainnet readiness.</w:t>
      </w:r>
    </w:p>
    <w:p>
      <w:pPr>
        <w:pStyle w:val="ListBullet"/>
      </w:pPr>
      <w:r>
        <w:rPr>
          <w:rFonts w:ascii="Nunito" w:hAnsi="Nunito" w:eastAsia="Nunito"/>
          <w:color w:val="1E1B2E"/>
          <w:sz w:val="20"/>
        </w:rPr>
        <w:t>Funding conversations after retention, learning outcomes, and complete Devnet evidence are demonstrated.</w:t>
      </w:r>
    </w:p>
    <w:p>
      <w:r>
        <w:rPr>
          <w:rFonts w:ascii="Nunito" w:hAnsi="Nunito" w:eastAsia="Nunito"/>
          <w:color w:val="1E1B2E"/>
          <w:sz w:val="20"/>
        </w:rPr>
        <w:t>Financial confidence should be a habit, not a privilege.</w:t>
      </w:r>
    </w:p>
    <w:p>
      <w:r>
        <w:br w:type="page"/>
      </w:r>
    </w:p>
    <w:p>
      <w:pPr>
        <w:spacing w:after="60"/>
      </w:pPr>
      <w:r>
        <w:rPr>
          <w:rFonts w:ascii="Nunito" w:hAnsi="Nunito" w:eastAsia="Nunito"/>
          <w:b/>
          <w:color w:val="5B4BC4"/>
          <w:sz w:val="18"/>
        </w:rPr>
        <w:t>16  CONCLUSIONS</w:t>
      </w:r>
    </w:p>
    <w:p>
      <w:pPr>
        <w:pStyle w:val="Heading1"/>
        <w:spacing w:after="100"/>
      </w:pPr>
      <w:r>
        <w:t>CoachFI focuses on practical progress</w:t>
      </w:r>
    </w:p>
    <w:p>
      <w:pPr>
        <w:spacing w:after="180" w:line="259" w:lineRule="auto"/>
      </w:pPr>
      <w:r>
        <w:rPr>
          <w:rFonts w:ascii="Nunito" w:hAnsi="Nunito" w:eastAsia="Nunito"/>
          <w:b w:val="0"/>
          <w:color w:val="4A4560"/>
          <w:sz w:val="23"/>
        </w:rPr>
        <w:t>CoachFI is designed as an accessible educational coach. It helps a user complete a small action and can issue a verifiable completion record when the user chooses that option.</w:t>
      </w:r>
    </w:p>
    <w:p>
      <w:pPr>
        <w:pStyle w:val="Heading2"/>
      </w:pPr>
      <w:r>
        <w:t>Current strengths</w:t>
      </w:r>
    </w:p>
    <w:p>
      <w:pPr>
        <w:pStyle w:val="ListBullet"/>
      </w:pPr>
      <w:r>
        <w:rPr>
          <w:rFonts w:ascii="Nunito" w:hAnsi="Nunito" w:eastAsia="Nunito"/>
          <w:color w:val="1E1B2E"/>
          <w:sz w:val="20"/>
        </w:rPr>
        <w:t>A coherent loop from question to explanation, practice, action, and progress.</w:t>
      </w:r>
    </w:p>
    <w:p>
      <w:pPr>
        <w:pStyle w:val="ListBullet"/>
      </w:pPr>
      <w:r>
        <w:rPr>
          <w:rFonts w:ascii="Nunito" w:hAnsi="Nunito" w:eastAsia="Nunito"/>
          <w:color w:val="1E1B2E"/>
          <w:sz w:val="20"/>
        </w:rPr>
        <w:t>Mila is clearly identified as AI, with text support and explicit answer boundaries.</w:t>
      </w:r>
    </w:p>
    <w:p>
      <w:pPr>
        <w:pStyle w:val="ListBullet"/>
      </w:pPr>
      <w:r>
        <w:rPr>
          <w:rFonts w:ascii="Nunito" w:hAnsi="Nunito" w:eastAsia="Nunito"/>
          <w:color w:val="1E1B2E"/>
          <w:sz w:val="20"/>
        </w:rPr>
        <w:t>An operating public Solana Devnet flow without making a wallet a condition of learning.</w:t>
      </w:r>
    </w:p>
    <w:p>
      <w:pPr>
        <w:pStyle w:val="ListBullet"/>
      </w:pPr>
      <w:r>
        <w:rPr>
          <w:rFonts w:ascii="Nunito" w:hAnsi="Nunito" w:eastAsia="Nunito"/>
          <w:color w:val="1E1B2E"/>
          <w:sz w:val="20"/>
        </w:rPr>
        <w:t>Accessibility, privacy, and non-exploitative engagement rules are part of the product design.</w:t>
      </w:r>
    </w:p>
    <w:p>
      <w:pPr>
        <w:pStyle w:val="Heading2"/>
      </w:pPr>
      <w:r>
        <w:t>Evidence required next</w:t>
      </w:r>
    </w:p>
    <w:tbl>
      <w:tblPr>
        <w:tblW w:type="auto" w:w="0"/>
        <w:jc w:val="center"/>
        <w:tblLayout w:type="fixed"/>
        <w:tblLook w:firstColumn="1" w:firstRow="1" w:lastColumn="0" w:lastRow="0" w:noHBand="0" w:noVBand="1" w:val="04A0"/>
      </w:tblPr>
      <w:tblGrid>
        <w:gridCol w:w="2880"/>
        <w:gridCol w:w="7344"/>
      </w:tblGrid>
      <w:tr>
        <w:trPr>
          <w:tblHeader w:val="true"/>
        </w:trPr>
        <w:tc>
          <w:tcPr>
            <w:tcW w:type="dxa" w:w="5112"/>
            <w:shd w:fill="FFF0BF"/>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Evidence</w:t>
            </w:r>
          </w:p>
        </w:tc>
        <w:tc>
          <w:tcPr>
            <w:tcW w:type="dxa" w:w="5112"/>
            <w:shd w:fill="FFF0BF"/>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Next artifact</w:t>
            </w:r>
          </w:p>
        </w:tc>
      </w:tr>
      <w:tr>
        <w:trPr>
          <w:cantSplit/>
        </w:trPr>
        <w:tc>
          <w:tcPr>
            <w:tcW w:type="dxa" w:w="2880"/>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Specific mint</w:t>
            </w:r>
          </w:p>
        </w:tc>
        <w:tc>
          <w:tcPr>
            <w:tcW w:type="dxa" w:w="7344"/>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Public transaction, asset, owner, metadata, program, and transfer test</w:t>
            </w:r>
          </w:p>
        </w:tc>
      </w:tr>
      <w:tr>
        <w:trPr>
          <w:cantSplit/>
        </w:trPr>
        <w:tc>
          <w:tcPr>
            <w:tcW w:type="dxa" w:w="2880"/>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Learning value</w:t>
            </w:r>
          </w:p>
        </w:tc>
        <w:tc>
          <w:tcPr>
            <w:tcW w:type="dxa" w:w="7344"/>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Pilot with a baseline, knowledge retention, and behavior measured over time</w:t>
            </w:r>
          </w:p>
        </w:tc>
      </w:tr>
      <w:tr>
        <w:trPr>
          <w:cantSplit/>
        </w:trPr>
        <w:tc>
          <w:tcPr>
            <w:tcW w:type="dxa" w:w="2880"/>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Security</w:t>
            </w:r>
          </w:p>
        </w:tc>
        <w:tc>
          <w:tcPr>
            <w:tcW w:type="dxa" w:w="7344"/>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Threat model, privacy review, access tests, and incident plan</w:t>
            </w:r>
          </w:p>
        </w:tc>
      </w:tr>
      <w:tr>
        <w:trPr>
          <w:cantSplit/>
        </w:trPr>
        <w:tc>
          <w:tcPr>
            <w:tcW w:type="dxa" w:w="2880"/>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Distribution</w:t>
            </w:r>
          </w:p>
        </w:tc>
        <w:tc>
          <w:tcPr>
            <w:tcW w:type="dxa" w:w="7344"/>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Active users and pilot conversion kept separate from partner reach</w:t>
            </w:r>
          </w:p>
        </w:tc>
      </w:tr>
    </w:tbl>
    <w:p>
      <w:pPr>
        <w:spacing w:after="0"/>
      </w:pPr>
    </w:p>
    <w:p>
      <w:r>
        <w:rPr>
          <w:rFonts w:ascii="Nunito" w:hAnsi="Nunito" w:eastAsia="Nunito"/>
          <w:color w:val="1E1B2E"/>
          <w:sz w:val="20"/>
        </w:rPr>
        <w:t>With this evidence discipline, Solana can serve as an optional public trust layer for educational achievements rather than a marketing label.</w:t>
      </w:r>
    </w:p>
    <w:p>
      <w:r>
        <w:rPr>
          <w:rFonts w:ascii="Nunito" w:hAnsi="Nunito" w:eastAsia="Nunito"/>
          <w:color w:val="1E1B2E"/>
          <w:sz w:val="20"/>
        </w:rPr>
        <w:t>The next action is to publish one fully reproducible Devnet certificate example and connect it to the exact version of the learning-completion rule.</w:t>
      </w:r>
    </w:p>
    <w:p>
      <w:r>
        <w:br w:type="page"/>
      </w:r>
    </w:p>
    <w:p>
      <w:pPr>
        <w:spacing w:after="60"/>
      </w:pPr>
      <w:r>
        <w:rPr>
          <w:rFonts w:ascii="Nunito" w:hAnsi="Nunito" w:eastAsia="Nunito"/>
          <w:b/>
          <w:color w:val="5B4BC4"/>
          <w:sz w:val="18"/>
        </w:rPr>
        <w:t>17  SOURCES AND GLOSSARY</w:t>
      </w:r>
    </w:p>
    <w:p>
      <w:pPr>
        <w:pStyle w:val="Heading1"/>
        <w:spacing w:after="100"/>
      </w:pPr>
      <w:r>
        <w:t>Evidence base</w:t>
      </w:r>
    </w:p>
    <w:p>
      <w:pPr>
        <w:spacing w:after="180" w:line="259" w:lineRule="auto"/>
      </w:pPr>
      <w:r>
        <w:rPr>
          <w:rFonts w:ascii="Nunito" w:hAnsi="Nunito" w:eastAsia="Nunito"/>
          <w:b w:val="0"/>
          <w:color w:val="4A4560"/>
          <w:sz w:val="23"/>
        </w:rPr>
        <w:t>Online sources were checked on 13 October 2026. Product status is based on the public application and the CoachFI Brand V6 project materials.</w:t>
      </w:r>
    </w:p>
    <w:p>
      <w:pPr>
        <w:spacing w:after="64"/>
        <w:ind w:left="288" w:hanging="288"/>
      </w:pPr>
      <w:r>
        <w:rPr>
          <w:rFonts w:ascii="Nunito" w:hAnsi="Nunito" w:eastAsia="Nunito"/>
          <w:color w:val="1E1B2E"/>
          <w:sz w:val="16"/>
        </w:rPr>
        <w:t xml:space="preserve">[1] European Commission, Flash Eurobarometer 525: Monitoring the level of financial literacy in the EU, 2023. </w:t>
      </w:r>
      <w:hyperlink r:id="rId12">
        <w:r>
          <w:rPr>
            <w:rFonts w:ascii="Nunito" w:hAnsi="Nunito"/>
            <w:color w:val="5B4BC4"/>
            <w:u w:val="single"/>
          </w:rPr>
          <w:t>Open source</w:t>
        </w:r>
      </w:hyperlink>
    </w:p>
    <w:p>
      <w:pPr>
        <w:spacing w:after="64"/>
        <w:ind w:left="288" w:hanging="288"/>
      </w:pPr>
      <w:r>
        <w:rPr>
          <w:rFonts w:ascii="Nunito" w:hAnsi="Nunito" w:eastAsia="Nunito"/>
          <w:color w:val="1E1B2E"/>
          <w:sz w:val="16"/>
        </w:rPr>
        <w:t xml:space="preserve">[2] European Commission, EU strategy on financial literacy, COM(2025) 681 final. </w:t>
      </w:r>
      <w:hyperlink r:id="rId13">
        <w:r>
          <w:rPr>
            <w:rFonts w:ascii="Nunito" w:hAnsi="Nunito"/>
            <w:color w:val="5B4BC4"/>
            <w:u w:val="single"/>
          </w:rPr>
          <w:t>Open source</w:t>
        </w:r>
      </w:hyperlink>
    </w:p>
    <w:p>
      <w:pPr>
        <w:spacing w:after="64"/>
        <w:ind w:left="288" w:hanging="288"/>
      </w:pPr>
      <w:r>
        <w:rPr>
          <w:rFonts w:ascii="Nunito" w:hAnsi="Nunito" w:eastAsia="Nunito"/>
          <w:color w:val="1E1B2E"/>
          <w:sz w:val="16"/>
        </w:rPr>
        <w:t xml:space="preserve">[3] European Commission, Financial literacy policy and initiatives. </w:t>
      </w:r>
      <w:hyperlink r:id="rId14">
        <w:r>
          <w:rPr>
            <w:rFonts w:ascii="Nunito" w:hAnsi="Nunito"/>
            <w:color w:val="5B4BC4"/>
            <w:u w:val="single"/>
          </w:rPr>
          <w:t>Open source</w:t>
        </w:r>
      </w:hyperlink>
    </w:p>
    <w:p>
      <w:pPr>
        <w:spacing w:after="64"/>
        <w:ind w:left="288" w:hanging="288"/>
      </w:pPr>
      <w:r>
        <w:rPr>
          <w:rFonts w:ascii="Nunito" w:hAnsi="Nunito" w:eastAsia="Nunito"/>
          <w:color w:val="1E1B2E"/>
          <w:sz w:val="16"/>
        </w:rPr>
        <w:t xml:space="preserve">[4] CoachFI AI, Rewards public MVP. </w:t>
      </w:r>
      <w:hyperlink r:id="rId15">
        <w:r>
          <w:rPr>
            <w:rFonts w:ascii="Nunito" w:hAnsi="Nunito"/>
            <w:color w:val="5B4BC4"/>
            <w:u w:val="single"/>
          </w:rPr>
          <w:t>Open source</w:t>
        </w:r>
      </w:hyperlink>
    </w:p>
    <w:p>
      <w:pPr>
        <w:spacing w:after="64"/>
        <w:ind w:left="288" w:hanging="288"/>
      </w:pPr>
      <w:r>
        <w:rPr>
          <w:rFonts w:ascii="Nunito" w:hAnsi="Nunito" w:eastAsia="Nunito"/>
          <w:color w:val="1E1B2E"/>
          <w:sz w:val="16"/>
        </w:rPr>
        <w:t xml:space="preserve">[5] Solana Documentation, RPC endpoints and commitment. </w:t>
      </w:r>
      <w:hyperlink r:id="rId16">
        <w:r>
          <w:rPr>
            <w:rFonts w:ascii="Nunito" w:hAnsi="Nunito"/>
            <w:color w:val="5B4BC4"/>
            <w:u w:val="single"/>
          </w:rPr>
          <w:t>Open source</w:t>
        </w:r>
      </w:hyperlink>
    </w:p>
    <w:p>
      <w:pPr>
        <w:spacing w:after="64"/>
        <w:ind w:left="288" w:hanging="288"/>
      </w:pPr>
      <w:r>
        <w:rPr>
          <w:rFonts w:ascii="Nunito" w:hAnsi="Nunito" w:eastAsia="Nunito"/>
          <w:color w:val="1E1B2E"/>
          <w:sz w:val="16"/>
        </w:rPr>
        <w:t xml:space="preserve">[6] Solana Documentation, Interacting with Solana and Solana Explorer on Devnet. </w:t>
      </w:r>
      <w:hyperlink r:id="rId17">
        <w:r>
          <w:rPr>
            <w:rFonts w:ascii="Nunito" w:hAnsi="Nunito"/>
            <w:color w:val="5B4BC4"/>
            <w:u w:val="single"/>
          </w:rPr>
          <w:t>Open source</w:t>
        </w:r>
      </w:hyperlink>
    </w:p>
    <w:p>
      <w:pPr>
        <w:spacing w:after="64"/>
        <w:ind w:left="288" w:hanging="288"/>
      </w:pPr>
      <w:r>
        <w:rPr>
          <w:rFonts w:ascii="Nunito" w:hAnsi="Nunito" w:eastAsia="Nunito"/>
          <w:color w:val="1E1B2E"/>
          <w:sz w:val="16"/>
        </w:rPr>
        <w:t xml:space="preserve">[7] Regulation (EU) 2016/679, Article 5, principles relating to processing of personal data. </w:t>
      </w:r>
      <w:hyperlink r:id="rId18">
        <w:r>
          <w:rPr>
            <w:rFonts w:ascii="Nunito" w:hAnsi="Nunito"/>
            <w:color w:val="5B4BC4"/>
            <w:u w:val="single"/>
          </w:rPr>
          <w:t>Open source</w:t>
        </w:r>
      </w:hyperlink>
    </w:p>
    <w:p>
      <w:pPr>
        <w:spacing w:after="64"/>
        <w:ind w:left="288" w:hanging="288"/>
      </w:pPr>
      <w:r>
        <w:rPr>
          <w:rFonts w:ascii="Nunito" w:hAnsi="Nunito" w:eastAsia="Nunito"/>
          <w:color w:val="1E1B2E"/>
          <w:sz w:val="16"/>
        </w:rPr>
        <w:t xml:space="preserve">[8] Regulation (EU) 2024/1689, consolidated text, Article 50. </w:t>
      </w:r>
      <w:hyperlink r:id="rId19">
        <w:r>
          <w:rPr>
            <w:rFonts w:ascii="Nunito" w:hAnsi="Nunito"/>
            <w:color w:val="5B4BC4"/>
            <w:u w:val="single"/>
          </w:rPr>
          <w:t>Open source</w:t>
        </w:r>
      </w:hyperlink>
    </w:p>
    <w:p>
      <w:pPr>
        <w:spacing w:after="64"/>
        <w:ind w:left="288" w:hanging="288"/>
      </w:pPr>
      <w:r>
        <w:rPr>
          <w:rFonts w:ascii="Nunito" w:hAnsi="Nunito" w:eastAsia="Nunito"/>
          <w:color w:val="1E1B2E"/>
          <w:sz w:val="16"/>
        </w:rPr>
        <w:t xml:space="preserve">[9] European Commission, Article 50 AI Act transparency guidelines and FAQ, 2026. </w:t>
      </w:r>
      <w:hyperlink r:id="rId20">
        <w:r>
          <w:rPr>
            <w:rFonts w:ascii="Nunito" w:hAnsi="Nunito"/>
            <w:color w:val="5B4BC4"/>
            <w:u w:val="single"/>
          </w:rPr>
          <w:t>Open source</w:t>
        </w:r>
      </w:hyperlink>
    </w:p>
    <w:p>
      <w:pPr>
        <w:spacing w:after="64"/>
        <w:ind w:left="288" w:hanging="288"/>
      </w:pPr>
      <w:r>
        <w:rPr>
          <w:rFonts w:ascii="Nunito" w:hAnsi="Nunito" w:eastAsia="Nunito"/>
          <w:color w:val="1E1B2E"/>
          <w:sz w:val="16"/>
        </w:rPr>
        <w:t xml:space="preserve">[10] W3C, Web Content Accessibility Guidelines 2.2, Recommendation updated 12 December 2024. </w:t>
      </w:r>
      <w:hyperlink r:id="rId21">
        <w:r>
          <w:rPr>
            <w:rFonts w:ascii="Nunito" w:hAnsi="Nunito"/>
            <w:color w:val="5B4BC4"/>
            <w:u w:val="single"/>
          </w:rPr>
          <w:t>Open source</w:t>
        </w:r>
      </w:hyperlink>
    </w:p>
    <w:p>
      <w:pPr>
        <w:spacing w:after="64"/>
        <w:ind w:left="288" w:hanging="288"/>
      </w:pPr>
      <w:r>
        <w:rPr>
          <w:rFonts w:ascii="Nunito" w:hAnsi="Nunito" w:eastAsia="Nunito"/>
          <w:color w:val="1E1B2E"/>
          <w:sz w:val="16"/>
        </w:rPr>
        <w:t xml:space="preserve">[11] Metaplex Developers, Core transfer documentation. Technical reference only; implementation is not asserted. </w:t>
      </w:r>
      <w:hyperlink r:id="rId22">
        <w:r>
          <w:rPr>
            <w:rFonts w:ascii="Nunito" w:hAnsi="Nunito"/>
            <w:color w:val="5B4BC4"/>
            <w:u w:val="single"/>
          </w:rPr>
          <w:t>Open source</w:t>
        </w:r>
      </w:hyperlink>
    </w:p>
    <w:p>
      <w:pPr>
        <w:spacing w:after="64"/>
        <w:ind w:left="288" w:hanging="288"/>
      </w:pPr>
      <w:r>
        <w:rPr>
          <w:rFonts w:ascii="Nunito" w:hAnsi="Nunito" w:eastAsia="Nunito"/>
          <w:color w:val="1E1B2E"/>
          <w:sz w:val="16"/>
        </w:rPr>
        <w:t xml:space="preserve">[12] CoachFI AI Brand V6 design system and Colosseum Devnet handoff materials, reviewed 13 October 2026. </w:t>
      </w:r>
    </w:p>
    <w:p>
      <w:pPr>
        <w:pStyle w:val="Heading2"/>
      </w:pPr>
      <w:r>
        <w:t>Glossary</w:t>
      </w:r>
    </w:p>
    <w:tbl>
      <w:tblPr>
        <w:tblW w:type="auto" w:w="0"/>
        <w:jc w:val="center"/>
        <w:tblLayout w:type="fixed"/>
        <w:tblLook w:firstColumn="1" w:firstRow="1" w:lastColumn="0" w:lastRow="0" w:noHBand="0" w:noVBand="1" w:val="04A0"/>
      </w:tblPr>
      <w:tblGrid>
        <w:gridCol w:w="2088"/>
        <w:gridCol w:w="8136"/>
      </w:tblGrid>
      <w:tr>
        <w:trPr>
          <w:tblHeader w:val="true"/>
        </w:trPr>
        <w:tc>
          <w:tcPr>
            <w:tcW w:type="dxa" w:w="5112"/>
            <w:shd w:fill="EBE1FF"/>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Term</w:t>
            </w:r>
          </w:p>
        </w:tc>
        <w:tc>
          <w:tcPr>
            <w:tcW w:type="dxa" w:w="5112"/>
            <w:shd w:fill="EBE1FF"/>
            <w:tcMar>
              <w:top w:w="85" w:type="dxa"/>
              <w:start w:w="105" w:type="dxa"/>
              <w:bottom w:w="85" w:type="dxa"/>
              <w:end w:w="105" w:type="dxa"/>
            </w:tcMar>
            <w:tcBorders>
              <w:top w:val="single" w:sz="6" w:color="D9D4CC"/>
              <w:left w:val="single" w:sz="6" w:color="D9D4CC"/>
              <w:bottom w:val="single" w:sz="6" w:color="D9D4CC"/>
              <w:right w:val="single" w:sz="6" w:color="D9D4CC"/>
              <w:insideH w:val="single" w:sz="6" w:color="D9D4CC"/>
              <w:insideV w:val="single" w:sz="6" w:color="D9D4CC"/>
            </w:tcBorders>
            <w:vAlign w:val="center"/>
          </w:tcPr>
          <w:p>
            <w:pPr>
              <w:spacing w:after="0"/>
            </w:pPr>
            <w:r>
              <w:rPr>
                <w:rFonts w:ascii="Nunito" w:hAnsi="Nunito" w:eastAsia="Nunito"/>
                <w:b/>
                <w:color w:val="1E1B2E"/>
                <w:sz w:val="18"/>
              </w:rPr>
              <w:t>Meaning</w:t>
            </w:r>
          </w:p>
        </w:tc>
      </w:tr>
      <w:tr>
        <w:trPr>
          <w:cantSplit/>
        </w:trPr>
        <w:tc>
          <w:tcPr>
            <w:tcW w:type="dxa" w:w="2088"/>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Devnet</w:t>
            </w:r>
          </w:p>
        </w:tc>
        <w:tc>
          <w:tcPr>
            <w:tcW w:type="dxa" w:w="8136"/>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The Solana development network. Test funds have no monetary value.</w:t>
            </w:r>
          </w:p>
        </w:tc>
      </w:tr>
      <w:tr>
        <w:trPr>
          <w:cantSplit/>
        </w:trPr>
        <w:tc>
          <w:tcPr>
            <w:tcW w:type="dxa" w:w="2088"/>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Transaction signature</w:t>
            </w:r>
          </w:p>
        </w:tc>
        <w:tc>
          <w:tcPr>
            <w:tcW w:type="dxa" w:w="8136"/>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The identifier of a signed transaction used for public lookup.</w:t>
            </w:r>
          </w:p>
        </w:tc>
      </w:tr>
      <w:tr>
        <w:trPr>
          <w:cantSplit/>
        </w:trPr>
        <w:tc>
          <w:tcPr>
            <w:tcW w:type="dxa" w:w="2088"/>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Asset address</w:t>
            </w:r>
          </w:p>
        </w:tc>
        <w:tc>
          <w:tcPr>
            <w:tcW w:type="dxa" w:w="8136"/>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The address of the digital certificate or asset created by the transaction.</w:t>
            </w:r>
          </w:p>
        </w:tc>
      </w:tr>
      <w:tr>
        <w:trPr>
          <w:cantSplit/>
        </w:trPr>
        <w:tc>
          <w:tcPr>
            <w:tcW w:type="dxa" w:w="2088"/>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Off-chain</w:t>
            </w:r>
          </w:p>
        </w:tc>
        <w:tc>
          <w:tcPr>
            <w:tcW w:type="dxa" w:w="8136"/>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Data stored outside the blockchain, such as quiz results and learning history.</w:t>
            </w:r>
          </w:p>
        </w:tc>
      </w:tr>
      <w:tr>
        <w:trPr>
          <w:cantSplit/>
        </w:trPr>
        <w:tc>
          <w:tcPr>
            <w:tcW w:type="dxa" w:w="2088"/>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On-chain</w:t>
            </w:r>
          </w:p>
        </w:tc>
        <w:tc>
          <w:tcPr>
            <w:tcW w:type="dxa" w:w="8136"/>
            <w:shd w:fill="FFFFFF"/>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A minimal public record written to the blockchain.</w:t>
            </w:r>
          </w:p>
        </w:tc>
      </w:tr>
      <w:tr>
        <w:trPr>
          <w:cantSplit/>
        </w:trPr>
        <w:tc>
          <w:tcPr>
            <w:tcW w:type="dxa" w:w="2088"/>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color w:val="1E1B2E"/>
                <w:sz w:val="17"/>
              </w:rPr>
              <w:t>White-label</w:t>
            </w:r>
          </w:p>
        </w:tc>
        <w:tc>
          <w:tcPr>
            <w:tcW w:type="dxa" w:w="8136"/>
            <w:shd w:fill="FFF8EE"/>
            <w:tcMar>
              <w:top w:w="70" w:type="dxa"/>
              <w:start w:w="100" w:type="dxa"/>
              <w:bottom w:w="70" w:type="dxa"/>
              <w:end w:w="100" w:type="dxa"/>
            </w:tcMar>
            <w:tcBorders>
              <w:top w:val="single" w:sz="6" w:color="D9D4CC"/>
              <w:left w:val="single" w:sz="6" w:color="D9D4CC"/>
              <w:bottom w:val="single" w:sz="6" w:color="D9D4CC"/>
              <w:right w:val="single" w:sz="6" w:color="D9D4CC"/>
              <w:insideH w:val="single" w:sz="6" w:color="D9D4CC"/>
              <w:insideV w:val="single" w:sz="6" w:color="D9D4CC"/>
            </w:tcBorders>
            <w:vAlign w:val="top"/>
          </w:tcPr>
          <w:p>
            <w:pPr>
              <w:spacing w:after="0" w:line="240" w:lineRule="auto"/>
            </w:pPr>
            <w:r>
              <w:rPr>
                <w:rFonts w:ascii="Nunito" w:hAnsi="Nunito" w:eastAsia="Nunito"/>
                <w:b w:val="0"/>
                <w:color w:val="1E1B2E"/>
                <w:sz w:val="17"/>
              </w:rPr>
              <w:t>A CoachFI version delivered under a partner brand with clearly defined data roles.</w:t>
            </w:r>
          </w:p>
        </w:tc>
      </w:tr>
    </w:tbl>
    <w:p>
      <w:pPr>
        <w:spacing w:after="0"/>
      </w:pPr>
    </w:p>
    <w:sectPr w:rsidR="00FC693F" w:rsidRPr="0006063C" w:rsidSect="00034616">
      <w:headerReference w:type="default" r:id="rId9"/>
      <w:footerReference w:type="default" r:id="rId10"/>
      <w:pgSz w:w="12240" w:h="15840"/>
      <w:pgMar w:top="792" w:right="1008" w:bottom="835" w:left="1008"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unito" w:hAnsi="Nunito" w:eastAsia="Nunito"/>
        <w:b/>
        <w:color w:val="4A4560"/>
        <w:sz w:val="16"/>
      </w:rPr>
      <w:t xml:space="preserve">COACHFI AI  ·  </w:t>
    </w:r>
    <w:r>
      <w:rPr>
        <w:rFonts w:ascii="Nunito" w:hAnsi="Nunito"/>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unito" w:hAnsi="Nunito" w:eastAsia="Nunito"/>
        <w:b/>
        <w:color w:val="5B4BC4"/>
        <w:sz w:val="16"/>
      </w:rPr>
      <w:t>CoachFI AI  ·  WHITE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Nunito" w:hAnsi="Nunito" w:eastAsia="Nunito"/>
      <w:color w:val="1E1B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Nunito" w:hAnsi="Nunito" w:eastAsia="Nunito"/>
      <w:b/>
      <w:bCs/>
      <w:color w:val="1E1B2E"/>
      <w:sz w:val="4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unito" w:hAnsi="Nunito" w:eastAsia="Nunito"/>
      <w:b/>
      <w:bCs/>
      <w:color w:val="1E1B2E"/>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Nunito" w:hAnsi="Nunito" w:eastAsia="Nunito"/>
      <w:b/>
      <w:color w:val="1E1B2E"/>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00" w:before="0"/>
    </w:pPr>
    <w:rPr>
      <w:rFonts w:asciiTheme="majorHAnsi" w:eastAsiaTheme="majorEastAsia" w:hAnsiTheme="majorHAnsi" w:cstheme="majorBidi" w:ascii="Nunito" w:hAnsi="Nunito" w:eastAsia="Nunito"/>
      <w:b/>
      <w:i/>
      <w:iCs/>
      <w:color w:val="5B4BC4"/>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ind w:left="346" w:hanging="173"/>
      <w:contextualSpacing/>
    </w:pPr>
    <w:rPr>
      <w:rFonts w:ascii="Nunito" w:hAnsi="Nunito" w:eastAsia="Nunito"/>
      <w:color w:val="1E1B2E"/>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europa.eu/eurobarometer/surveys/detail/2953" TargetMode="External"/><Relationship Id="rId13" Type="http://schemas.openxmlformats.org/officeDocument/2006/relationships/hyperlink" Target="https://eur-lex.europa.eu/legal-content/EN/ALL/?uri=CELEX%3A52025DC0681" TargetMode="External"/><Relationship Id="rId14" Type="http://schemas.openxmlformats.org/officeDocument/2006/relationships/hyperlink" Target="https://finance.ec.europa.eu/consumer-finance-and-payments/financial-literacy_en" TargetMode="External"/><Relationship Id="rId15" Type="http://schemas.openxmlformats.org/officeDocument/2006/relationships/hyperlink" Target="https://coachfiai.com/rewards" TargetMode="External"/><Relationship Id="rId16" Type="http://schemas.openxmlformats.org/officeDocument/2006/relationships/hyperlink" Target="https://solana.com/docs/rpc" TargetMode="External"/><Relationship Id="rId17" Type="http://schemas.openxmlformats.org/officeDocument/2006/relationships/hyperlink" Target="https://solana.com/docs/payments/interacting-with-solana" TargetMode="External"/><Relationship Id="rId18" Type="http://schemas.openxmlformats.org/officeDocument/2006/relationships/hyperlink" Target="https://eur-lex.europa.eu/legal-content/EN/TXT/?toc=OJ%3AL%3A2016%3A119%3A&amp;uri=uriserv%3AOJ.L_.2016.119.01.0001.01.ENG" TargetMode="External"/><Relationship Id="rId19" Type="http://schemas.openxmlformats.org/officeDocument/2006/relationships/hyperlink" Target="https://eur-lex.europa.eu/legal-content/EN/TXT/?uri=CELEX%3A02024R1689-20260727" TargetMode="External"/><Relationship Id="rId20" Type="http://schemas.openxmlformats.org/officeDocument/2006/relationships/hyperlink" Target="https://digital-strategy.ec.europa.eu/en/library/guidelines-transparency-obligations-providers-and-deployers-ai-systems" TargetMode="External"/><Relationship Id="rId21" Type="http://schemas.openxmlformats.org/officeDocument/2006/relationships/hyperlink" Target="https://www.w3.org/TR/WCAG22/" TargetMode="External"/><Relationship Id="rId22" Type="http://schemas.openxmlformats.org/officeDocument/2006/relationships/hyperlink" Target="https://developers.metaplex.com/core/transf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CoachFI AI White Paper - EN - v1.0</dc:title>
  <dc:subject>CoachFI AI product model architecture safety and development plan</dc:subject>
  <dc:creator>CoachFI AI</dc:creator>
  <cp:keywords>CoachFI, Mila, edukacja finansowa, AI, Solana Devnet, Colosseum, dostępność</cp:keywords>
  <dc:description>Version 1.0 - 13 October 2026 - EN</dc:description>
  <cp:lastModifiedBy/>
  <cp:revision>1</cp:revision>
  <dcterms:created xsi:type="dcterms:W3CDTF">2013-12-23T23:15:00Z</dcterms:created>
  <dcterms:modified xsi:type="dcterms:W3CDTF">2013-12-23T23:15:00Z</dcterms:modified>
  <cp:category/>
</cp:coreProperties>
</file>