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color w:val="1683F8"/>
          <w:sz w:val="56"/>
          <w:szCs w:val="56"/>
        </w:rPr>
        <w:t xml:space="preserve">QUALIFYR</w:t>
      </w:r>
    </w:p>
    <w:p>
      <w:pPr>
        <w:spacing w:after="400"/>
      </w:pPr>
      <w:r>
        <w:rPr>
          <w:b/>
          <w:bCs/>
          <w:color w:val="111418"/>
          <w:sz w:val="32"/>
          <w:szCs w:val="32"/>
        </w:rPr>
        <w:t xml:space="preserve">Audit growth marketing, CRO et tunnel SaaS</w:t>
      </w:r>
    </w:p>
    <w:p>
      <w:pPr>
        <w:spacing w:after="160"/>
      </w:pPr>
      <w:r>
        <w:rPr>
          <w:i/>
          <w:iCs/>
          <w:color w:val="5B6472"/>
          <w:sz w:val="22"/>
          <w:szCs w:val="22"/>
        </w:rPr>
        <w:t xml:space="preserve">Diagnostic du site qualifyragence.com et du tunnel produit, avec plan d’action priorisé sur 30 jours.</w:t>
      </w:r>
    </w:p>
    <w:p>
      <w:pPr>
        <w:spacing w:after="160"/>
      </w:pPr>
      <w:r>
        <w:rPr>
          <w:color w:val="5B6472"/>
          <w:sz w:val="20"/>
          <w:szCs w:val="20"/>
        </w:rPr>
        <w:t xml:space="preserve">Préparé le 22 août 2026, à partir de l’état réel du dépôt (contenus, prix, e-mails, pages, code) au moment de la rédaction — pas d’une visite du site en ligne, dont l’état déployé peut être en retard sur le dépôt.</w:t>
      </w:r>
    </w:p>
    <w:p>
      <w:pPr>
        <w:pBdr>
          <w:bottom w:val="single" w:color="CCCCCC" w:sz="6" w:space="1"/>
        </w:pBdr>
        <w:spacing w:after="240" w:before="100"/>
      </w:pPr>
      <w:r>
        <w:t xml:space="preserve"/>
      </w:r>
    </w:p>
    <w:p>
      <w:pPr>
        <w:pStyle w:val="Heading2"/>
      </w:pPr>
      <w:r>
        <w:t xml:space="preserve">Méthode et limites</w:t>
      </w:r>
    </w:p>
    <w:p>
      <w:pPr>
        <w:spacing w:after="160"/>
      </w:pPr>
      <w:r>
        <w:t xml:space="preserve">Trois principes tiennent tout ce document :</w:t>
      </w:r>
    </w:p>
    <w:p>
      <w:pPr>
        <w:pStyle w:val="ListParagraph"/>
        <w:numPr>
          <w:ilvl w:val="0"/>
          <w:numId w:val="2"/>
        </w:numPr>
        <w:spacing w:after="80"/>
      </w:pPr>
      <w:r>
        <w:t xml:space="preserve">Aucun chiffre inventé. Aucun outil de mesure n’est installé aujourd’hui (§8) — les seuils proposés sont des points de départ raisonnables pour un SaaS B2B early-stage, pas des mesures réelles.</w:t>
      </w:r>
    </w:p>
    <w:p>
      <w:pPr>
        <w:pStyle w:val="ListParagraph"/>
        <w:numPr>
          <w:ilvl w:val="0"/>
          <w:numId w:val="2"/>
        </w:numPr>
        <w:spacing w:after="80"/>
      </w:pPr>
      <w:r>
        <w:t xml:space="preserve">Aucune fonctionnalité inventée. Le tunnel décrit distingue ce qui existe déjà dans le code (connexion, Stripe, 3 offres, 2 gabarits d’e-mail) de ce qui reste à construire (inscription en libre-service, onboarding, séquences e-mail, analytics).</w:t>
      </w:r>
    </w:p>
    <w:p>
      <w:pPr>
        <w:pStyle w:val="ListParagraph"/>
        <w:numPr>
          <w:ilvl w:val="0"/>
          <w:numId w:val="2"/>
        </w:numPr>
        <w:spacing w:after="80"/>
      </w:pPr>
      <w:r>
        <w:t xml:space="preserve">Aucune fausse preuve sociale. Le projet a une règle établie : pas de témoignage tant qu’il n’est pas réel et vérifiable — ce document la respecte, et propose comment en obtenir de vrais plutôt que d’en simuler.</w:t>
      </w:r>
    </w:p>
    <w:p>
      <w:r>
        <w:br w:type="page"/>
      </w:r>
    </w:p>
    <w:p>
      <w:pPr>
        <w:pStyle w:val="Heading1"/>
      </w:pPr>
      <w:r>
        <w:t xml:space="preserve">1. Compréhension de l’offre</w:t>
      </w:r>
    </w:p>
    <w:p>
      <w:pPr>
        <w:pStyle w:val="Heading2"/>
      </w:pPr>
      <w:r>
        <w:t xml:space="preserve">Ce que propose Qualifyr</w:t>
      </w:r>
    </w:p>
    <w:p>
      <w:pPr>
        <w:spacing w:after="160"/>
      </w:pPr>
      <w:r>
        <w:t xml:space="preserve">Un SaaS tout-en-un pour les laveurs auto et préparateurs automobiles indépendants, en France et en Suisse, construit autour de trois fonctionnalités réelles et vendues séparément ou ensemble :</w:t>
      </w:r>
    </w:p>
    <w:p>
      <w:pPr>
        <w:pStyle w:val="ListParagraph"/>
        <w:numPr>
          <w:ilvl w:val="0"/>
          <w:numId w:val="2"/>
        </w:numPr>
        <w:spacing w:after="80"/>
      </w:pPr>
      <w:r>
        <w:t xml:space="preserve">Un agent de prospection qui démarche le secteur du professionnel en continu et ne remonte que les échanges qui valent le temps du laveur.</w:t>
      </w:r>
    </w:p>
    <w:p>
      <w:pPr>
        <w:pStyle w:val="ListParagraph"/>
        <w:numPr>
          <w:ilvl w:val="0"/>
          <w:numId w:val="2"/>
        </w:numPr>
        <w:spacing w:after="80"/>
      </w:pPr>
      <w:r>
        <w:t xml:space="preserve">Un système de réservation à prix ferme : le client voit le prix et la durée avant de réserver, paie un acompte au clic (le créneau est tenu), et le trajet est géocodé pour facturer le déplacement au juste prix.</w:t>
      </w:r>
    </w:p>
    <w:p>
      <w:pPr>
        <w:pStyle w:val="ListParagraph"/>
        <w:numPr>
          <w:ilvl w:val="0"/>
          <w:numId w:val="2"/>
        </w:numPr>
        <w:spacing w:after="80"/>
      </w:pPr>
      <w:r>
        <w:t xml:space="preserve">Un filtrage des curieux : celui qui veut juste un prix l’obtient sans déranger le laveur ; celui qui va au bout a déjà accepté le montant et laissé un acompte.</w:t>
      </w:r>
    </w:p>
    <w:p>
      <w:pPr>
        <w:pStyle w:val="Heading2"/>
      </w:pPr>
      <w:r>
        <w:t xml:space="preserve">Problème résolu</w:t>
      </w:r>
    </w:p>
    <w:p>
      <w:pPr>
        <w:spacing w:after="160"/>
      </w:pPr>
      <w:r>
        <w:t xml:space="preserve">Trois frictions concrètes et récurrentes du métier, documentées dans le contenu produit existant (comparatif « Sans Qualifyr / Avec Qualifyr », page d’accueil) :</w:t>
      </w:r>
    </w:p>
    <w:p>
      <w:pPr>
        <w:pStyle w:val="ListParagraph"/>
        <w:numPr>
          <w:ilvl w:val="0"/>
          <w:numId w:val="2"/>
        </w:numPr>
        <w:spacing w:after="80"/>
      </w:pPr>
      <w:r>
        <w:t xml:space="preserve">Le temps perdu à démarcher — la prospection attend « quand j’aurai le temps », donc n’arrive jamais.</w:t>
      </w:r>
    </w:p>
    <w:p>
      <w:pPr>
        <w:pStyle w:val="ListParagraph"/>
        <w:numPr>
          <w:ilvl w:val="0"/>
          <w:numId w:val="2"/>
        </w:numPr>
        <w:spacing w:after="80"/>
      </w:pPr>
      <w:r>
        <w:t xml:space="preserve">Les devis écrits le soir pour un client qui ne répond plus.</w:t>
      </w:r>
    </w:p>
    <w:p>
      <w:pPr>
        <w:pStyle w:val="ListParagraph"/>
        <w:numPr>
          <w:ilvl w:val="0"/>
          <w:numId w:val="2"/>
        </w:numPr>
        <w:spacing w:after="80"/>
      </w:pPr>
      <w:r>
        <w:t xml:space="preserve">Les créneaux bloqués sans garantie, pour quelqu’un qui ne viendra pas — et les déplacements facturés à perte faute d’estimation fiable.</w:t>
      </w:r>
    </w:p>
    <w:p>
      <w:pPr>
        <w:pStyle w:val="Heading2"/>
      </w:pPr>
      <w:r>
        <w:t xml:space="preserve">Cible principale</w:t>
      </w:r>
    </w:p>
    <w:p>
      <w:pPr>
        <w:spacing w:after="160"/>
      </w:pPr>
      <w:r>
        <w:t xml:space="preserve">Laveurs auto et préparateurs automobiles indépendants ou en petite structure, France et Suisse, qui gèrent aujourd’hui leur clientèle par Instagram, DM, téléphone ou bouche-à-oreille, sans outil dédié à leur métier.</w:t>
      </w:r>
    </w:p>
    <w:p>
      <w:pPr>
        <w:pStyle w:val="Heading2"/>
      </w:pPr>
      <w:r>
        <w:t xml:space="preserve">Objections probables</w:t>
      </w:r>
    </w:p>
    <w:p>
      <w:pPr>
        <w:spacing w:after="160"/>
      </w:pPr>
      <w:r>
        <w:t xml:space="preserve">Deux sont déjà anticipées dans la vraie FAQ du produit (donc confirmées comme des objections réelles rencontrées par Dorian, pas des hypothèses) :</w:t>
      </w:r>
    </w:p>
    <w:p>
      <w:pPr>
        <w:pStyle w:val="ListParagraph"/>
        <w:numPr>
          <w:ilvl w:val="0"/>
          <w:numId w:val="2"/>
        </w:numPr>
        <w:spacing w:after="80"/>
      </w:pPr>
      <w:r>
        <w:t xml:space="preserve">« L’agent va-t-il écrire n’importe quoi à mes clients ? » — peur de perdre le contrôle du ton avec ses clients. (FAQ existante)</w:t>
      </w:r>
    </w:p>
    <w:p>
      <w:pPr>
        <w:pStyle w:val="ListParagraph"/>
        <w:numPr>
          <w:ilvl w:val="0"/>
          <w:numId w:val="2"/>
        </w:numPr>
        <w:spacing w:after="80"/>
      </w:pPr>
      <w:r>
        <w:t xml:space="preserve">« Mes clients sauront-ils s’en servir ? » — doute sur la friction ajoutée pour une clientèle parfois âgée ou peu digitale. (FAQ existante)</w:t>
      </w:r>
    </w:p>
    <w:p>
      <w:pPr>
        <w:spacing w:after="160"/>
      </w:pPr>
      <w:r>
        <w:rPr>
          <w:i/>
          <w:iCs/>
        </w:rPr>
        <w:t xml:space="preserve">Trois objections supplémentaires, non documentées dans le produit — hypothèses à valider :</w:t>
      </w:r>
    </w:p>
    <w:p>
      <w:pPr>
        <w:pStyle w:val="ListParagraph"/>
        <w:numPr>
          <w:ilvl w:val="0"/>
          <w:numId w:val="2"/>
        </w:numPr>
        <w:spacing w:after="80"/>
      </w:pPr>
      <w:r>
        <w:rPr>
          <w:i/>
          <w:iCs/>
        </w:rPr>
        <w:t xml:space="preserve">Prix perçu comme élevé pour un indépendant au chiffre d’affaires irrégulier. [hypothèse]</w:t>
      </w:r>
    </w:p>
    <w:p>
      <w:pPr>
        <w:pStyle w:val="ListParagraph"/>
        <w:numPr>
          <w:ilvl w:val="0"/>
          <w:numId w:val="2"/>
        </w:numPr>
        <w:spacing w:after="80"/>
      </w:pPr>
      <w:r>
        <w:rPr>
          <w:i/>
          <w:iCs/>
        </w:rPr>
        <w:t xml:space="preserve">Crainte qu’une prospection automatisée ressemble à du démarchage agressif et nuise à l’image du professionnel. [hypothèse]</w:t>
      </w:r>
    </w:p>
    <w:p>
      <w:pPr>
        <w:pStyle w:val="ListParagraph"/>
        <w:numPr>
          <w:ilvl w:val="0"/>
          <w:numId w:val="2"/>
        </w:numPr>
        <w:spacing w:after="80"/>
      </w:pPr>
      <w:r>
        <w:rPr>
          <w:i/>
          <w:iCs/>
        </w:rPr>
        <w:t xml:space="preserve">« Encore un outil à apprendre » — fatigue logicielle chez un métier manuel. [hypothèse]</w:t>
      </w:r>
    </w:p>
    <w:p>
      <w:pPr>
        <w:pStyle w:val="Heading2"/>
      </w:pPr>
      <w:r>
        <w:t xml:space="preserve">Bénéfices concrets</w:t>
      </w:r>
    </w:p>
    <w:p>
      <w:pPr>
        <w:pStyle w:val="ListParagraph"/>
        <w:numPr>
          <w:ilvl w:val="0"/>
          <w:numId w:val="2"/>
        </w:numPr>
        <w:spacing w:after="80"/>
      </w:pPr>
      <w:r>
        <w:t xml:space="preserve">Un rapport de secteur par e-mail plutôt qu’une prospection à faire soi-même.</w:t>
      </w:r>
    </w:p>
    <w:p>
      <w:pPr>
        <w:pStyle w:val="ListParagraph"/>
        <w:numPr>
          <w:ilvl w:val="0"/>
          <w:numId w:val="2"/>
        </w:numPr>
        <w:spacing w:after="80"/>
      </w:pPr>
      <w:r>
        <w:t xml:space="preserve">Un acompte encaissé au clic : le créneau n’est plus perdu en silence.</w:t>
      </w:r>
    </w:p>
    <w:p>
      <w:pPr>
        <w:pStyle w:val="ListParagraph"/>
        <w:numPr>
          <w:ilvl w:val="0"/>
          <w:numId w:val="2"/>
        </w:numPr>
        <w:spacing w:after="80"/>
      </w:pPr>
      <w:r>
        <w:t xml:space="preserve">Une relance automatique envoyée à un client qui n’a pas payé, sans que le laveur ait à y penser.</w:t>
      </w:r>
    </w:p>
    <w:p>
      <w:pPr>
        <w:pStyle w:val="ListParagraph"/>
        <w:numPr>
          <w:ilvl w:val="0"/>
          <w:numId w:val="2"/>
        </w:numPr>
        <w:spacing w:after="80"/>
      </w:pPr>
      <w:r>
        <w:t xml:space="preserve">Un seul abonnement, une seule facture, un seul écran pour l’agenda, la facturation et l’acquisition (offre « Pack complet »).</w:t>
      </w:r>
    </w:p>
    <w:p>
      <w:pPr>
        <w:pStyle w:val="Heading2"/>
      </w:pPr>
      <w:r>
        <w:t xml:space="preserve">Positionnement face aux concurrents</w:t>
      </w:r>
    </w:p>
    <w:p>
      <w:pPr>
        <w:spacing w:after="160"/>
      </w:pPr>
      <w:r>
        <w:t xml:space="preserve">Le vrai concurrent n’est pas un autre logiciel : c’est le statu quo « Instagram + DM + agenda papier », déjà traité en profondeur dans le contenu de blog existant (« Trouver des clients en lavage auto sans dépendre d’Instagram »). L’argument central déjà en place : Instagram fait découvrir, il ne prend pas de rendez-vous, ne classe pas les tarifs par véhicule et n’encaisse pas d’acompte.</w:t>
      </w:r>
    </w:p>
    <w:p>
      <w:pPr>
        <w:spacing w:after="160"/>
      </w:pPr>
      <w:r>
        <w:t xml:space="preserve">Face aux outils de réservation génériques (Calendly et équivalents) : Qualifyr ajoute l’estimation de trajet géocodée, les tarifs par type de véhicule et la prospection sectorielle — absents d’un simple calendrier.</w:t>
      </w:r>
    </w:p>
    <w:p>
      <w:pPr>
        <w:spacing w:after="160"/>
      </w:pPr>
      <w:r>
        <w:t xml:space="preserve">Face à un CRM généraliste : Qualifyr est conçu pour un métier précis, sans paramétrage à faire soi-même.</w:t>
      </w:r>
    </w:p>
    <w:p>
      <w:pPr>
        <w:pStyle w:val="Heading2"/>
      </w:pPr>
      <w:r>
        <w:t xml:space="preserve">Maturité des visiteurs</w:t>
      </w:r>
    </w:p>
    <w:p>
      <w:pPr>
        <w:spacing w:after="160"/>
      </w:pPr>
      <w:r>
        <w:t xml:space="preserve">Majoritairement en phase « conscient du problème, pas de la solution » : le laveur sait qu’il perd du temps et des clients, mais ne sait pas qu’un logiciel dédié à son métier existe. Cela confirme que le contenu doit éduquer autant que convertir — cohérent avec la ligne éditoriale déjà choisie pour le blog (méthode, tarification, choix du point d’entrée) plutôt qu’une accumulation de contenu purement promotionnel.</w:t>
      </w:r>
    </w:p>
    <w:p>
      <w:r>
        <w:br w:type="page"/>
      </w:r>
    </w:p>
    <w:p>
      <w:pPr>
        <w:pStyle w:val="Heading1"/>
      </w:pPr>
      <w:r>
        <w:t xml:space="preserve">2. Refonte du parcours utilisateur</w:t>
      </w:r>
    </w:p>
    <w:p>
      <w:pPr>
        <w:spacing w:after="160"/>
      </w:pPr>
      <w:r>
        <w:t xml:space="preserve">Le tunnel demandé, confronté à ce qui existe déjà dans le produit — pour ne recommander que ce qui manque réellement.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00"/>
      </w:tblGrid>
      <w:tr>
        <w:trPr>
          <w:tblHeader/>
        </w:trPr>
        <w:tc>
          <w:tcPr>
            <w:tcW w:type="dxa" w:w="2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Étape</w:t>
            </w:r>
          </w:p>
        </w:tc>
        <w:tc>
          <w:tcPr>
            <w:tcW w:type="dxa" w:w="4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État réel aujourd’hui</w:t>
            </w:r>
          </w:p>
        </w:tc>
        <w:tc>
          <w:tcPr>
            <w:tcW w:type="dxa" w:w="3000"/>
            <w:shd w:fill="111418" w:val="clear"/>
            <w:tcMar>
              <w:top w:type="dxa" w:w="90"/>
              <w:left w:type="dxa" w:w="110"/>
              <w:bottom w:type="dxa" w:w="90"/>
              <w:right w:type="dxa" w:w="110"/>
            </w:tcMar>
            <w:vAlign w:val="center"/>
          </w:tcPr>
          <w:p>
            <w:pPr>
              <w:spacing w:after="40"/>
              <w:jc w:val="left"/>
            </w:pPr>
            <w:r>
              <w:rPr>
                <w:b/>
                <w:bCs/>
                <w:color w:val="FFFFFF"/>
                <w:sz w:val="17"/>
                <w:szCs w:val="17"/>
              </w:rPr>
              <w:t xml:space="preserve">Action recommandée</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1. Découvre l’offre</w:t>
            </w:r>
          </w:p>
        </w:tc>
        <w:tc>
          <w:tcPr>
            <w:tcW w:type="dxa" w:w="4400"/>
            <w:tcMar>
              <w:top w:type="dxa" w:w="90"/>
              <w:left w:type="dxa" w:w="110"/>
              <w:bottom w:type="dxa" w:w="90"/>
              <w:right w:type="dxa" w:w="110"/>
            </w:tcMar>
            <w:vAlign w:val="center"/>
          </w:tcPr>
          <w:p>
            <w:pPr>
              <w:spacing w:after="40"/>
              <w:jc w:val="left"/>
            </w:pPr>
            <w:r>
              <w:rPr>
                <w:b w:val="false"/>
                <w:bCs w:val="false"/>
                <w:sz w:val="17"/>
                <w:szCs w:val="17"/>
              </w:rPr>
              <w:t xml:space="preserve">Hero, sections bénéfices/fonctionnement déjà en place et récemment retravaillés.</w:t>
            </w:r>
          </w:p>
        </w:tc>
        <w:tc>
          <w:tcPr>
            <w:tcW w:type="dxa" w:w="3000"/>
            <w:tcMar>
              <w:top w:type="dxa" w:w="90"/>
              <w:left w:type="dxa" w:w="110"/>
              <w:bottom w:type="dxa" w:w="90"/>
              <w:right w:type="dxa" w:w="110"/>
            </w:tcMar>
            <w:vAlign w:val="center"/>
          </w:tcPr>
          <w:p>
            <w:pPr>
              <w:spacing w:after="40"/>
              <w:jc w:val="left"/>
            </w:pPr>
            <w:r>
              <w:rPr>
                <w:b w:val="false"/>
                <w:bCs w:val="false"/>
                <w:sz w:val="17"/>
                <w:szCs w:val="17"/>
              </w:rPr>
              <w:t xml:space="preserve">RAS — surveiller le taux de scroll au-delà du hero (§8).</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2. Comprend la valeur</w:t>
            </w:r>
          </w:p>
        </w:tc>
        <w:tc>
          <w:tcPr>
            <w:tcW w:type="dxa" w:w="4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Comparatif « Sans/Avec Qualifyr », section fonctionnalités déjà réels et concrets.</w:t>
            </w:r>
          </w:p>
        </w:tc>
        <w:tc>
          <w:tcPr>
            <w:tcW w:type="dxa" w:w="3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RAS.</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3. Clique sur le CTA</w:t>
            </w:r>
          </w:p>
        </w:tc>
        <w:tc>
          <w:tcPr>
            <w:tcW w:type="dxa" w:w="4400"/>
            <w:tcMar>
              <w:top w:type="dxa" w:w="90"/>
              <w:left w:type="dxa" w:w="110"/>
              <w:bottom w:type="dxa" w:w="90"/>
              <w:right w:type="dxa" w:w="110"/>
            </w:tcMar>
            <w:vAlign w:val="center"/>
          </w:tcPr>
          <w:p>
            <w:pPr>
              <w:spacing w:after="40"/>
              <w:jc w:val="left"/>
            </w:pPr>
            <w:r>
              <w:rPr>
                <w:b w:val="false"/>
                <w:bCs w:val="false"/>
                <w:sz w:val="17"/>
                <w:szCs w:val="17"/>
              </w:rPr>
              <w:t xml:space="preserve">CTA « Tester Qualifyr gratuitement » présent.</w:t>
            </w:r>
          </w:p>
        </w:tc>
        <w:tc>
          <w:tcPr>
            <w:tcW w:type="dxa" w:w="3000"/>
            <w:tcMar>
              <w:top w:type="dxa" w:w="90"/>
              <w:left w:type="dxa" w:w="110"/>
              <w:bottom w:type="dxa" w:w="90"/>
              <w:right w:type="dxa" w:w="110"/>
            </w:tcMar>
            <w:vAlign w:val="center"/>
          </w:tcPr>
          <w:p>
            <w:pPr>
              <w:spacing w:after="40"/>
              <w:jc w:val="left"/>
            </w:pPr>
            <w:r>
              <w:rPr>
                <w:b w:val="false"/>
                <w:bCs w:val="false"/>
                <w:sz w:val="17"/>
                <w:szCs w:val="17"/>
              </w:rPr>
              <w:t xml:space="preserve">Vérifier qu’il mène à une action réelle une fois l’étape 4 construite (aujourd’hui : ancre vers une démo, pas un compte).</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4. Crée un compte / demande un diagnostic</w:t>
            </w:r>
          </w:p>
        </w:tc>
        <w:tc>
          <w:tcPr>
            <w:tcW w:type="dxa" w:w="4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N’existe PAS en libre-service. `/app` n’a qu’une page de connexion (mot de passe + lien magique) ; le pied de page dit « Pas encore de compte ? Découvrir Qualifyr et ses tarifs ».</w:t>
            </w:r>
          </w:p>
        </w:tc>
        <w:tc>
          <w:tcPr>
            <w:tcW w:type="dxa" w:w="3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P0 — construire une inscription en libre-service (voir §5, étape 3).</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5. Onboarding court</w:t>
            </w:r>
          </w:p>
        </w:tc>
        <w:tc>
          <w:tcPr>
            <w:tcW w:type="dxa" w:w="4400"/>
            <w:tcMar>
              <w:top w:type="dxa" w:w="90"/>
              <w:left w:type="dxa" w:w="110"/>
              <w:bottom w:type="dxa" w:w="90"/>
              <w:right w:type="dxa" w:w="110"/>
            </w:tcMar>
            <w:vAlign w:val="center"/>
          </w:tcPr>
          <w:p>
            <w:pPr>
              <w:spacing w:after="40"/>
              <w:jc w:val="left"/>
            </w:pPr>
            <w:r>
              <w:rPr>
                <w:b w:val="false"/>
                <w:bCs w:val="false"/>
                <w:sz w:val="17"/>
                <w:szCs w:val="17"/>
              </w:rPr>
              <w:t xml:space="preserve">N’existe pas.</w:t>
            </w:r>
          </w:p>
        </w:tc>
        <w:tc>
          <w:tcPr>
            <w:tcW w:type="dxa" w:w="3000"/>
            <w:tcMar>
              <w:top w:type="dxa" w:w="90"/>
              <w:left w:type="dxa" w:w="110"/>
              <w:bottom w:type="dxa" w:w="90"/>
              <w:right w:type="dxa" w:w="110"/>
            </w:tcMar>
            <w:vAlign w:val="center"/>
          </w:tcPr>
          <w:p>
            <w:pPr>
              <w:spacing w:after="40"/>
              <w:jc w:val="left"/>
            </w:pPr>
            <w:r>
              <w:rPr>
                <w:b w:val="false"/>
                <w:bCs w:val="false"/>
                <w:sz w:val="17"/>
                <w:szCs w:val="17"/>
              </w:rPr>
              <w:t xml:space="preserve">P0 — construire un onboarding 3 à 5 étapes (voir §5, étape 4).</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6. Premier résultat rapide</w:t>
            </w:r>
          </w:p>
        </w:tc>
        <w:tc>
          <w:tcPr>
            <w:tcW w:type="dxa" w:w="4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Deux mécaniques réelles déjà promises dans les tarifs : « Première zone gratuite, sans carte bancaire » (Agent seul) et « Démo complète, sans inscription » (Pack complet) — mais pas encore reliées à un vrai parcours produit.</w:t>
            </w:r>
          </w:p>
        </w:tc>
        <w:tc>
          <w:tcPr>
            <w:tcW w:type="dxa" w:w="3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P0 — transformer ces promesses en expérience produit réelle : le rapport de secteur comme premier livrable (voir §5, étape 5).</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7. Recommandation personnalisée</w:t>
            </w:r>
          </w:p>
        </w:tc>
        <w:tc>
          <w:tcPr>
            <w:tcW w:type="dxa" w:w="4400"/>
            <w:tcMar>
              <w:top w:type="dxa" w:w="90"/>
              <w:left w:type="dxa" w:w="110"/>
              <w:bottom w:type="dxa" w:w="90"/>
              <w:right w:type="dxa" w:w="110"/>
            </w:tcMar>
            <w:vAlign w:val="center"/>
          </w:tcPr>
          <w:p>
            <w:pPr>
              <w:spacing w:after="40"/>
              <w:jc w:val="left"/>
            </w:pPr>
            <w:r>
              <w:rPr>
                <w:b w:val="false"/>
                <w:bCs w:val="false"/>
                <w:sz w:val="17"/>
                <w:szCs w:val="17"/>
              </w:rPr>
              <w:t xml:space="preserve">N’existe pas comme mécanique automatisée ; un « configurateur d’offre » existe côté vitrine pour orienter vers une offre.</w:t>
            </w:r>
          </w:p>
        </w:tc>
        <w:tc>
          <w:tcPr>
            <w:tcW w:type="dxa" w:w="3000"/>
            <w:tcMar>
              <w:top w:type="dxa" w:w="90"/>
              <w:left w:type="dxa" w:w="110"/>
              <w:bottom w:type="dxa" w:w="90"/>
              <w:right w:type="dxa" w:w="110"/>
            </w:tcMar>
            <w:vAlign w:val="center"/>
          </w:tcPr>
          <w:p>
            <w:pPr>
              <w:spacing w:after="40"/>
              <w:jc w:val="left"/>
            </w:pPr>
            <w:r>
              <w:rPr>
                <w:b w:val="false"/>
                <w:bCs w:val="false"/>
                <w:sz w:val="17"/>
                <w:szCs w:val="17"/>
              </w:rPr>
              <w:t xml:space="preserve">P1 — relier le résultat de l’onboarding à une offre recommandée.</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8. Orienté vers l’offre adaptée</w:t>
            </w:r>
          </w:p>
        </w:tc>
        <w:tc>
          <w:tcPr>
            <w:tcW w:type="dxa" w:w="4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Page tarifs avec 3 offres réelles et un badge « Le plus pris ».</w:t>
            </w:r>
          </w:p>
        </w:tc>
        <w:tc>
          <w:tcPr>
            <w:tcW w:type="dxa" w:w="3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RAS, à relier au parcours produit une fois les étapes 4-5 construites.</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9. Relance si non terminé</w:t>
            </w:r>
          </w:p>
        </w:tc>
        <w:tc>
          <w:tcPr>
            <w:tcW w:type="dxa" w:w="4400"/>
            <w:tcMar>
              <w:top w:type="dxa" w:w="90"/>
              <w:left w:type="dxa" w:w="110"/>
              <w:bottom w:type="dxa" w:w="90"/>
              <w:right w:type="dxa" w:w="110"/>
            </w:tcMar>
            <w:vAlign w:val="center"/>
          </w:tcPr>
          <w:p>
            <w:pPr>
              <w:spacing w:after="40"/>
              <w:jc w:val="left"/>
            </w:pPr>
            <w:r>
              <w:rPr>
                <w:b w:val="false"/>
                <w:bCs w:val="false"/>
                <w:sz w:val="17"/>
                <w:szCs w:val="17"/>
              </w:rPr>
              <w:t xml:space="preserve">Aucune séquence e-mail de relance n’existe (seulement un accusé de réception du formulaire de contact).</w:t>
            </w:r>
          </w:p>
        </w:tc>
        <w:tc>
          <w:tcPr>
            <w:tcW w:type="dxa" w:w="3000"/>
            <w:tcMar>
              <w:top w:type="dxa" w:w="90"/>
              <w:left w:type="dxa" w:w="110"/>
              <w:bottom w:type="dxa" w:w="90"/>
              <w:right w:type="dxa" w:w="110"/>
            </w:tcMar>
            <w:vAlign w:val="center"/>
          </w:tcPr>
          <w:p>
            <w:pPr>
              <w:spacing w:after="40"/>
              <w:jc w:val="left"/>
            </w:pPr>
            <w:r>
              <w:rPr>
                <w:b w:val="false"/>
                <w:bCs w:val="false"/>
                <w:sz w:val="17"/>
                <w:szCs w:val="17"/>
              </w:rPr>
              <w:t xml:space="preserve">P0 — construire les séquences du §6.</w:t>
            </w:r>
          </w:p>
        </w:tc>
      </w:tr>
    </w:tbl>
    <w:p>
      <w:r>
        <w:br w:type="page"/>
      </w:r>
    </w:p>
    <w:p>
      <w:pPr>
        <w:pStyle w:val="Heading1"/>
      </w:pPr>
      <w:r>
        <w:t xml:space="preserve">3. Structure recommandée du site</w:t>
      </w:r>
    </w:p>
    <w:p>
      <w:pPr>
        <w:spacing w:after="160"/>
      </w:pPr>
      <w:r>
        <w:t xml:space="preserve">La structure actuelle de la page d’accueil suit déjà, dans l’ordre, la quasi-totalité du schéma demandé : en-tête, hero, ce que fait le système, comment ça marche, démonstration, avant/après, comparatif, tarifs, FAQ, appel à l’action final, pied de page. Le travail restant porte sur trois manques précis plutôt que sur une reconstruction :</w:t>
      </w:r>
    </w:p>
    <w:p>
      <w:pPr>
        <w:pStyle w:val="ListParagraph"/>
        <w:numPr>
          <w:ilvl w:val="0"/>
          <w:numId w:val="2"/>
        </w:numPr>
        <w:spacing w:after="80"/>
      </w:pPr>
      <w:r>
        <w:t xml:space="preserve">Preuve sociale : volontairement absente aujourd’hui — le projet refuse les faux témoignages. Recommandation : ne pas simuler, mais mettre en place la collecte de vrais avis dès les premiers clients (voir §6 et §7) et les publier dès qu’ils existent.</w:t>
      </w:r>
    </w:p>
    <w:p>
      <w:pPr>
        <w:pStyle w:val="ListParagraph"/>
        <w:numPr>
          <w:ilvl w:val="0"/>
          <w:numId w:val="2"/>
        </w:numPr>
        <w:spacing w:after="80"/>
      </w:pPr>
      <w:r>
        <w:t xml:space="preserve">Pages dédiées par intention de recherche : deux existent déjà (logiciel pour laveur auto, logiciel pour detailing automobile). Il manque des déclinaisons plus précises (ex. par usage : « logiciel de prise de rendez-vous lavage auto », « logiciel de devis lavage auto ») pour capter des recherches plus spécifiques sans dupliquer le contenu existant.</w:t>
      </w:r>
    </w:p>
    <w:p>
      <w:pPr>
        <w:pStyle w:val="ListParagraph"/>
        <w:numPr>
          <w:ilvl w:val="0"/>
          <w:numId w:val="2"/>
        </w:numPr>
        <w:spacing w:after="80"/>
      </w:pPr>
      <w:r>
        <w:t xml:space="preserve">Cas d’usage : le contenu actuel parle du métier en général ; des mini-cas concrets (ex. « une semaine avec et sans Qualifyr » pour un profil type) renforceraient la section bénéfices sans dépendre de témoignages réels.</w:t>
      </w:r>
    </w:p>
    <w:p>
      <w:r>
        <w:br w:type="page"/>
      </w:r>
    </w:p>
    <w:p>
      <w:pPr>
        <w:pStyle w:val="Heading1"/>
      </w:pPr>
      <w:r>
        <w:t xml:space="preserve">4. Copywriting</w:t>
      </w:r>
    </w:p>
    <w:p>
      <w:pPr>
        <w:spacing w:after="160"/>
      </w:pPr>
      <w:r>
        <w:t xml:space="preserve">Le hero, les bénéfices et les bulles de la première section ont déjà été retravaillés dans un passage récent (ton direct, sans promesse de fonctionnalité inexistante). Le tableau ci-dessous couvre les sections qui n’ont pas encore reçu ce traitement, au format demandé, à partir du contenu réel déjà présent dans le produit.</w:t>
      </w:r>
    </w:p>
    <w:p>
      <w:pPr>
        <w:pStyle w:val="Heading3"/>
      </w:pPr>
      <w:r>
        <w:t xml:space="preserve">Section « Ce que fait le système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Élément</w:t>
            </w:r>
          </w:p>
        </w:tc>
        <w:tc>
          <w:tcPr>
            <w:tcW w:type="dxa" w:w="7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Contenu</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Titre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Trois choses qui tournent sans vous.</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Sous-titre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Ce que fait le système, pas ce qu’il promet.</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Texte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L’agent démarche votre secteur pendant que vous travaillez. Le prix s’affiche pendant que le client choisit. Les curieux s’arrêtent avant votre téléphone. (contenu déjà réel, conservé)</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CTA</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Voir comment ça marche</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Objectif marketing</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Rendre concret ce qu’« automatisation » veut dire, avant que le visiteur ne se pose la question.</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Objection traitée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 C’est encore un outil vague qui ne fait rien de précis. »</w:t>
            </w:r>
          </w:p>
        </w:tc>
      </w:tr>
    </w:tbl>
    <w:p>
      <w:pPr>
        <w:spacing w:after="200"/>
      </w:pPr>
      <w:r>
        <w:t xml:space="preserve"/>
      </w:r>
    </w:p>
    <w:p>
      <w:pPr>
        <w:pStyle w:val="Heading3"/>
      </w:pPr>
      <w:r>
        <w:t xml:space="preserve">Comparatif avant/après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Élément</w:t>
            </w:r>
          </w:p>
        </w:tc>
        <w:tc>
          <w:tcPr>
            <w:tcW w:type="dxa" w:w="7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Contenu</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Titre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Votre semaine, avant et après.</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Sous-titre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Rien de ce qui suit n’est un gain de temps théorique — ce sont les cinq moments où votre journée déraille aujourd’hui. (contenu déjà réel, conservé)</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Texte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Cinq lignes miroir : interruptions en pleine prestation → réservation en autonomie ; devis écrits pour rien → prix ferme accepté à l’avance ; créneaux bloqués → acompte encaissé ; déplacements estimés à la louche → trajet calculé ; prospection remise à plus tard → un agent qui prospecte pour vous.</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CTA</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Tester Qualifyr gratuitement</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Objectif marketing</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Faire le travail de comparaison à la place du lecteur, sans lui demander un clic pour voir « après ».</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Objection traitée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 En quoi c’est vraiment différent de ce que je fais déjà ? »</w:t>
            </w:r>
          </w:p>
        </w:tc>
      </w:tr>
    </w:tbl>
    <w:p>
      <w:pPr>
        <w:spacing w:after="200"/>
      </w:pPr>
      <w:r>
        <w:t xml:space="preserve"/>
      </w:r>
    </w:p>
    <w:p>
      <w:pPr>
        <w:pStyle w:val="Heading3"/>
      </w:pPr>
      <w:r>
        <w:t xml:space="preserve">Introduction des tarifs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Élément</w:t>
            </w:r>
          </w:p>
        </w:tc>
        <w:tc>
          <w:tcPr>
            <w:tcW w:type="dxa" w:w="7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Contenu</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Titre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Trois façons de commencer.</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Sous-titre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Choisissez ce qui manque le plus aujourd’hui : des clients, un système, ou les deux.</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Texte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Présenter les 3 offres réelles côte à côte avant le détail : Agent seul (17 €/mois, prospection), Système seul (49 €/mois, réservation et facturation), Pack complet (59 €/mois, les deux, badge « Le plus pris »).</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CTA</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Obtenir mon diagnostic</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Objectif marketing</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Réduire l’hésitation « lequel me correspond » avant même d’afficher le détail des trois offres.</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Objection traitée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 Je ne sais pas lequel choisir » / « c’est cher pour un indépendant ». [objection prix : hypothèse]</w:t>
            </w:r>
          </w:p>
        </w:tc>
      </w:tr>
    </w:tbl>
    <w:p>
      <w:pPr>
        <w:spacing w:after="200"/>
      </w:pPr>
      <w:r>
        <w:t xml:space="preserve"/>
      </w:r>
    </w:p>
    <w:p>
      <w:pPr>
        <w:pStyle w:val="Heading3"/>
      </w:pPr>
      <w:r>
        <w:t xml:space="preserve">Introduction FAQ</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Élément</w:t>
            </w:r>
          </w:p>
        </w:tc>
        <w:tc>
          <w:tcPr>
            <w:tcW w:type="dxa" w:w="7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Contenu</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Titre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Les questions qu’on nous pose vraiment.</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Sous-titre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Pas une FAQ générique — les questions posées par de vrais laveurs auto avant de tester.</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Texte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Renvoyer directement aux 6 questions déjà réelles de la FAQ d’accueil (l’agent va-t-il écrire n’importe quoi ; mes clients sauront-ils s’en servir ; l’acompte est-il vraiment utile ; ça marche en Suisse ; si j’arrête, je perds tout).</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CTA</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Voir toutes les questions</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Objectif marketing</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Désamorcer les deux objections déjà identifiées comme réelles avant qu’elles ne bloquent la conversion.</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Objection traitée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Toutes les objections listées en §1.</w:t>
            </w:r>
          </w:p>
        </w:tc>
      </w:tr>
    </w:tbl>
    <w:p>
      <w:pPr>
        <w:spacing w:after="200"/>
      </w:pPr>
      <w:r>
        <w:t xml:space="preserve"/>
      </w:r>
    </w:p>
    <w:p>
      <w:pPr>
        <w:pStyle w:val="Heading3"/>
      </w:pPr>
      <w:r>
        <w:t xml:space="preserve">Appel à l’action final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Élément</w:t>
            </w:r>
          </w:p>
        </w:tc>
        <w:tc>
          <w:tcPr>
            <w:tcW w:type="dxa" w:w="7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Contenu</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Titre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Le prochain client vous cherche déjà.</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Sous-titre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Première zone de prospection gratuite, sans carte bancaire.</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Texte</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Reprendre littéralement la promesse déjà écrite dans l’offre « Agent seul » plutôt que d’en inventer une nouvelle — c’est la garantie la plus forte et la plus vraie déjà dans le produit.</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CTA</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Créer mon espace</w:t>
            </w:r>
          </w:p>
        </w:tc>
      </w:tr>
      <w:tr>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Objectif marketing</w:t>
            </w:r>
          </w:p>
        </w:tc>
        <w:tc>
          <w:tcPr>
            <w:tcW w:type="dxa" w:w="7400"/>
            <w:tcMar>
              <w:top w:type="dxa" w:w="90"/>
              <w:left w:type="dxa" w:w="110"/>
              <w:bottom w:type="dxa" w:w="90"/>
              <w:right w:type="dxa" w:w="110"/>
            </w:tcMar>
            <w:vAlign w:val="center"/>
          </w:tcPr>
          <w:p>
            <w:pPr>
              <w:spacing w:after="40"/>
              <w:jc w:val="left"/>
            </w:pPr>
            <w:r>
              <w:rPr>
                <w:b w:val="false"/>
                <w:bCs w:val="false"/>
                <w:sz w:val="17"/>
                <w:szCs w:val="17"/>
              </w:rPr>
              <w:t xml:space="preserve">Convertir le visiteur qui a lu jusqu’au bout mais hésite encore, avec l’offre la plus basse friction (gratuite, sans CB).</w:t>
            </w:r>
          </w:p>
        </w:tc>
      </w:tr>
      <w:tr>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Objection traitée</w:t>
            </w:r>
          </w:p>
        </w:tc>
        <w:tc>
          <w:tcPr>
            <w:tcW w:type="dxa" w:w="7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 Je ne veux pas m’engager sans avoir essayé. »</w:t>
            </w:r>
          </w:p>
        </w:tc>
      </w:tr>
    </w:tbl>
    <w:p>
      <w:pPr>
        <w:spacing w:after="200"/>
      </w:pPr>
      <w:r>
        <w:t xml:space="preserve"/>
      </w:r>
    </w:p>
    <w:p>
      <w:r>
        <w:br w:type="page"/>
      </w:r>
    </w:p>
    <w:p>
      <w:pPr>
        <w:pStyle w:val="Heading1"/>
      </w:pPr>
      <w:r>
        <w:t xml:space="preserve">5. Tunnel SaaS</w:t>
      </w:r>
    </w:p>
    <w:p>
      <w:pPr>
        <w:pStyle w:val="Heading2"/>
      </w:pPr>
      <w:r>
        <w:t xml:space="preserve">Étape 1 — Landing page</w:t>
      </w:r>
    </w:p>
    <w:p>
      <w:pPr>
        <w:spacing w:after="160"/>
      </w:pPr>
      <w:r>
        <w:t xml:space="preserve">Déjà en place (§3). Objectif : faire comprendre l’offre en moins de 5 secondes et obtenir un clic sur le CTA principal — atteint par la structure actuelle.</w:t>
      </w:r>
    </w:p>
    <w:p>
      <w:pPr>
        <w:pStyle w:val="Heading2"/>
      </w:pPr>
      <w:r>
        <w:t xml:space="preserve">Étape 2 — Qualification</w:t>
      </w:r>
    </w:p>
    <w:p>
      <w:pPr>
        <w:spacing w:after="160"/>
      </w:pPr>
      <w:r>
        <w:t xml:space="preserve">Formulaire court, à construire (n’existe pas aujourd’hui). Chaque question a une justification produit directe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11418" w:val="clear"/>
            <w:tcMar>
              <w:top w:type="dxa" w:w="90"/>
              <w:left w:type="dxa" w:w="110"/>
              <w:bottom w:type="dxa" w:w="90"/>
              <w:right w:type="dxa" w:w="110"/>
            </w:tcMar>
            <w:vAlign w:val="center"/>
          </w:tcPr>
          <w:p>
            <w:pPr>
              <w:spacing w:after="40"/>
              <w:jc w:val="left"/>
            </w:pPr>
            <w:r>
              <w:rPr>
                <w:b/>
                <w:bCs/>
                <w:color w:val="FFFFFF"/>
                <w:sz w:val="17"/>
                <w:szCs w:val="17"/>
              </w:rPr>
              <w:t xml:space="preserve">Question</w:t>
            </w:r>
          </w:p>
        </w:tc>
        <w:tc>
          <w:tcPr>
            <w:tcW w:type="dxa" w:w="6000"/>
            <w:shd w:fill="111418" w:val="clear"/>
            <w:tcMar>
              <w:top w:type="dxa" w:w="90"/>
              <w:left w:type="dxa" w:w="110"/>
              <w:bottom w:type="dxa" w:w="90"/>
              <w:right w:type="dxa" w:w="110"/>
            </w:tcMar>
            <w:vAlign w:val="center"/>
          </w:tcPr>
          <w:p>
            <w:pPr>
              <w:spacing w:after="40"/>
              <w:jc w:val="left"/>
            </w:pPr>
            <w:r>
              <w:rPr>
                <w:b/>
                <w:bCs/>
                <w:color w:val="FFFFFF"/>
                <w:sz w:val="17"/>
                <w:szCs w:val="17"/>
              </w:rPr>
              <w:t xml:space="preserve">Pourquoi elle est utile</w:t>
            </w:r>
          </w:p>
        </w:tc>
      </w:tr>
      <w:tr>
        <w:tc>
          <w:tcPr>
            <w:tcW w:type="dxa" w:w="3600"/>
            <w:tcMar>
              <w:top w:type="dxa" w:w="90"/>
              <w:left w:type="dxa" w:w="110"/>
              <w:bottom w:type="dxa" w:w="90"/>
              <w:right w:type="dxa" w:w="110"/>
            </w:tcMar>
            <w:vAlign w:val="center"/>
          </w:tcPr>
          <w:p>
            <w:pPr>
              <w:spacing w:after="40"/>
              <w:jc w:val="left"/>
            </w:pPr>
            <w:r>
              <w:rPr>
                <w:b w:val="false"/>
                <w:bCs w:val="false"/>
                <w:sz w:val="17"/>
                <w:szCs w:val="17"/>
              </w:rPr>
              <w:t xml:space="preserve">Lavage, detailing, ou les deux ?</w:t>
            </w:r>
          </w:p>
        </w:tc>
        <w:tc>
          <w:tcPr>
            <w:tcW w:type="dxa" w:w="6000"/>
            <w:tcMar>
              <w:top w:type="dxa" w:w="90"/>
              <w:left w:type="dxa" w:w="110"/>
              <w:bottom w:type="dxa" w:w="90"/>
              <w:right w:type="dxa" w:w="110"/>
            </w:tcMar>
            <w:vAlign w:val="center"/>
          </w:tcPr>
          <w:p>
            <w:pPr>
              <w:spacing w:after="40"/>
              <w:jc w:val="left"/>
            </w:pPr>
            <w:r>
              <w:rPr>
                <w:b w:val="false"/>
                <w:bCs w:val="false"/>
                <w:sz w:val="17"/>
                <w:szCs w:val="17"/>
              </w:rPr>
              <w:t xml:space="preserve">Orienter directement vers la bonne offre et les bons exemples de tarifs à l’écran suivant.</w:t>
            </w:r>
          </w:p>
        </w:tc>
      </w:tr>
      <w:tr>
        <w:tc>
          <w:tcPr>
            <w:tcW w:type="dxa" w:w="36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Ville ou zone d’intervention</w:t>
            </w:r>
          </w:p>
        </w:tc>
        <w:tc>
          <w:tcPr>
            <w:tcW w:type="dxa" w:w="6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Nécessaire pour le rapport de secteur de l’agent de prospection — pas une question de qualification abstraite, une donnée que le produit utilise immédiatement.</w:t>
            </w:r>
          </w:p>
        </w:tc>
      </w:tr>
      <w:tr>
        <w:tc>
          <w:tcPr>
            <w:tcW w:type="dxa" w:w="3600"/>
            <w:tcMar>
              <w:top w:type="dxa" w:w="90"/>
              <w:left w:type="dxa" w:w="110"/>
              <w:bottom w:type="dxa" w:w="90"/>
              <w:right w:type="dxa" w:w="110"/>
            </w:tcMar>
            <w:vAlign w:val="center"/>
          </w:tcPr>
          <w:p>
            <w:pPr>
              <w:spacing w:after="40"/>
              <w:jc w:val="left"/>
            </w:pPr>
            <w:r>
              <w:rPr>
                <w:b w:val="false"/>
                <w:bCs w:val="false"/>
                <w:sz w:val="17"/>
                <w:szCs w:val="17"/>
              </w:rPr>
              <w:t xml:space="preserve">Combien de véhicules traités par semaine, approximativement</w:t>
            </w:r>
          </w:p>
        </w:tc>
        <w:tc>
          <w:tcPr>
            <w:tcW w:type="dxa" w:w="6000"/>
            <w:tcMar>
              <w:top w:type="dxa" w:w="90"/>
              <w:left w:type="dxa" w:w="110"/>
              <w:bottom w:type="dxa" w:w="90"/>
              <w:right w:type="dxa" w:w="110"/>
            </w:tcMar>
            <w:vAlign w:val="center"/>
          </w:tcPr>
          <w:p>
            <w:pPr>
              <w:spacing w:after="40"/>
              <w:jc w:val="left"/>
            </w:pPr>
            <w:r>
              <w:rPr>
                <w:b w:val="false"/>
                <w:bCs w:val="false"/>
                <w:sz w:val="17"/>
                <w:szCs w:val="17"/>
              </w:rPr>
              <w:t xml:space="preserve">Calibrer la recommandation d’offre (Agent seul vs Pack complet) sans demander de chiffre d’affaires.</w:t>
            </w:r>
          </w:p>
        </w:tc>
      </w:tr>
      <w:tr>
        <w:tc>
          <w:tcPr>
            <w:tcW w:type="dxa" w:w="36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Comment les clients vous trouvent aujourd’hui (Instagram, bouche-à-oreille, téléphone, autre)</w:t>
            </w:r>
          </w:p>
        </w:tc>
        <w:tc>
          <w:tcPr>
            <w:tcW w:type="dxa" w:w="6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Identifie l’objection probable : un profil « tout Instagram » a plus besoin du système de réservation ; un profil « bouche-à-oreille » a plus besoin de l’agent.</w:t>
            </w:r>
          </w:p>
        </w:tc>
      </w:tr>
      <w:tr>
        <w:tc>
          <w:tcPr>
            <w:tcW w:type="dxa" w:w="3600"/>
            <w:tcMar>
              <w:top w:type="dxa" w:w="90"/>
              <w:left w:type="dxa" w:w="110"/>
              <w:bottom w:type="dxa" w:w="90"/>
              <w:right w:type="dxa" w:w="110"/>
            </w:tcMar>
            <w:vAlign w:val="center"/>
          </w:tcPr>
          <w:p>
            <w:pPr>
              <w:spacing w:after="40"/>
              <w:jc w:val="left"/>
            </w:pPr>
            <w:r>
              <w:rPr>
                <w:b w:val="false"/>
                <w:bCs w:val="false"/>
                <w:sz w:val="17"/>
                <w:szCs w:val="17"/>
              </w:rPr>
              <w:t xml:space="preserve">E-mail professionnel</w:t>
            </w:r>
          </w:p>
        </w:tc>
        <w:tc>
          <w:tcPr>
            <w:tcW w:type="dxa" w:w="6000"/>
            <w:tcMar>
              <w:top w:type="dxa" w:w="90"/>
              <w:left w:type="dxa" w:w="110"/>
              <w:bottom w:type="dxa" w:w="90"/>
              <w:right w:type="dxa" w:w="110"/>
            </w:tcMar>
            <w:vAlign w:val="center"/>
          </w:tcPr>
          <w:p>
            <w:pPr>
              <w:spacing w:after="40"/>
              <w:jc w:val="left"/>
            </w:pPr>
            <w:r>
              <w:rPr>
                <w:b w:val="false"/>
                <w:bCs w:val="false"/>
                <w:sz w:val="17"/>
                <w:szCs w:val="17"/>
              </w:rPr>
              <w:t xml:space="preserve">Seule coordonnée nécessaire pour créer le compte à l’étape suivante — pas de téléphone demandé ici, pour ne pas alourdir un formulaire court.</w:t>
            </w:r>
          </w:p>
        </w:tc>
      </w:tr>
    </w:tbl>
    <w:p>
      <w:pPr>
        <w:spacing w:after="160"/>
      </w:pPr>
      <w:r>
        <w:t xml:space="preserve">Cinq champs maximum, un seul écran, aucune question sur le budget à ce stade (elle arrive naturellement à l’étape 6, avec le prix déjà affiché).</w:t>
      </w:r>
    </w:p>
    <w:p>
      <w:pPr>
        <w:pStyle w:val="Heading2"/>
      </w:pPr>
      <w:r>
        <w:t xml:space="preserve">Étape 3 — Création de compte</w:t>
      </w:r>
    </w:p>
    <w:p>
      <w:pPr>
        <w:spacing w:after="160"/>
      </w:pPr>
      <w:r>
        <w:t xml:space="preserve">P0 — n’existe pas en libre-service aujourd’hui. `/app` n’a qu’une connexion (mot de passe ou lien magique) ; aucune page d’inscription.</w:t>
      </w:r>
    </w:p>
    <w:p>
      <w:pPr>
        <w:pStyle w:val="ListParagraph"/>
        <w:numPr>
          <w:ilvl w:val="0"/>
          <w:numId w:val="2"/>
        </w:numPr>
        <w:spacing w:after="80"/>
      </w:pPr>
      <w:r>
        <w:t xml:space="preserve">E-mail pré-rempli depuis l’étape 2 (le visiteur ne le retape pas).</w:t>
      </w:r>
    </w:p>
    <w:p>
      <w:pPr>
        <w:pStyle w:val="ListParagraph"/>
        <w:numPr>
          <w:ilvl w:val="0"/>
          <w:numId w:val="2"/>
        </w:numPr>
        <w:spacing w:after="80"/>
      </w:pPr>
      <w:r>
        <w:t xml:space="preserve">Mot de passe ou connexion Google — le lien magique existant peut aussi servir ici, en évitant même la création d’un mot de passe.</w:t>
      </w:r>
    </w:p>
    <w:p>
      <w:pPr>
        <w:pStyle w:val="ListParagraph"/>
        <w:numPr>
          <w:ilvl w:val="0"/>
          <w:numId w:val="2"/>
        </w:numPr>
        <w:spacing w:after="80"/>
      </w:pPr>
      <w:r>
        <w:t xml:space="preserve">Confirmation immédiate et concrète de la valeur obtenue : « Votre zone de prospection [ville renseignée] est activée » plutôt qu’un simple « Compte créé ».</w:t>
      </w:r>
    </w:p>
    <w:p>
      <w:pPr>
        <w:pStyle w:val="Heading2"/>
      </w:pPr>
      <w:r>
        <w:t xml:space="preserve">Étape 4 — Onboarding</w:t>
      </w:r>
    </w:p>
    <w:p>
      <w:pPr>
        <w:spacing w:after="160"/>
      </w:pPr>
      <w:r>
        <w:t xml:space="preserve">P0 — n’existe pas aujourd’hui. Recommandation à 4 étapes, ancrées sur les fonctionnalités réelles :</w:t>
      </w:r>
    </w:p>
    <w:p>
      <w:pPr>
        <w:pStyle w:val="ListParagraph"/>
        <w:numPr>
          <w:ilvl w:val="0"/>
          <w:numId w:val="3"/>
        </w:numPr>
        <w:spacing w:after="80"/>
      </w:pPr>
      <w:r>
        <w:t xml:space="preserve">Confirmer la zone de prospection (déjà connue depuis la qualification) — 30 secondes.</w:t>
      </w:r>
    </w:p>
    <w:p>
      <w:pPr>
        <w:pStyle w:val="ListParagraph"/>
        <w:numPr>
          <w:ilvl w:val="0"/>
          <w:numId w:val="3"/>
        </w:numPr>
        <w:spacing w:after="80"/>
      </w:pPr>
      <w:r>
        <w:t xml:space="preserve">Renseigner 2 à 3 tarifs de base par type de véhicule (la donnée qui alimente le prix ferme affiché au client) — 2 minutes.</w:t>
      </w:r>
    </w:p>
    <w:p>
      <w:pPr>
        <w:pStyle w:val="ListParagraph"/>
        <w:numPr>
          <w:ilvl w:val="0"/>
          <w:numId w:val="3"/>
        </w:numPr>
        <w:spacing w:after="80"/>
      </w:pPr>
      <w:r>
        <w:t xml:space="preserve">Connecter Stripe pour recevoir les acomptes (Stripe Connect Express, déjà techniquement en place côté produit) — 2 minutes, ou « plus tard » pour ne pas bloquer la découverte.</w:t>
      </w:r>
    </w:p>
    <w:p>
      <w:pPr>
        <w:pStyle w:val="ListParagraph"/>
        <w:numPr>
          <w:ilvl w:val="0"/>
          <w:numId w:val="3"/>
        </w:numPr>
        <w:spacing w:after="80"/>
      </w:pPr>
      <w:r>
        <w:t xml:space="preserve">Recevoir le premier rapport de secteur — écran de résultat, voir étape 5.</w:t>
      </w:r>
    </w:p>
    <w:p>
      <w:pPr>
        <w:spacing w:after="160"/>
      </w:pPr>
      <w:r>
        <w:t xml:space="preserve">Chaque écran affiche : où l’utilisateur se trouve (« Étape 2 sur 4 »), ce qu’il doit faire, une estimation de durée, et ce qu’il obtient à la fin — les quatre points explicitement demandés.</w:t>
      </w:r>
    </w:p>
    <w:p>
      <w:pPr>
        <w:pStyle w:val="Heading2"/>
      </w:pPr>
      <w:r>
        <w:t xml:space="preserve">Étape 5 — Premier résultat</w:t>
      </w:r>
    </w:p>
    <w:p>
      <w:pPr>
        <w:spacing w:after="160"/>
      </w:pPr>
      <w:r>
        <w:t xml:space="preserve">Le quick win le plus honnête est déjà écrit dans l’offre « Agent seul » : « Un rapport de secteur par e-mail, à lire quand vous voulez. » Formaliser ce rapport comme premier résultat produit, livré en quelques minutes après l’onboarding :</w:t>
      </w:r>
    </w:p>
    <w:p>
      <w:pPr>
        <w:pStyle w:val="ListParagraph"/>
        <w:numPr>
          <w:ilvl w:val="0"/>
          <w:numId w:val="2"/>
        </w:numPr>
        <w:spacing w:after="80"/>
      </w:pPr>
      <w:r>
        <w:t xml:space="preserve">Nombre d’entreprises identifiées dans la zone (loueurs, VTC, concessions, flottes — le ciblage déjà décrit dans l’offre).</w:t>
      </w:r>
    </w:p>
    <w:p>
      <w:pPr>
        <w:pStyle w:val="ListParagraph"/>
        <w:numPr>
          <w:ilvl w:val="0"/>
          <w:numId w:val="2"/>
        </w:numPr>
        <w:spacing w:after="80"/>
      </w:pPr>
      <w:r>
        <w:t xml:space="preserve">Estimation du volume d’opportunités hebdomadaire pour la zone renseignée.</w:t>
      </w:r>
    </w:p>
    <w:p>
      <w:pPr>
        <w:pStyle w:val="ListParagraph"/>
        <w:numPr>
          <w:ilvl w:val="0"/>
          <w:numId w:val="2"/>
        </w:numPr>
        <w:spacing w:after="80"/>
      </w:pPr>
      <w:r>
        <w:t xml:space="preserve">Un tarif suggéré par type de véhicule, à comparer à ce que l’utilisateur a saisi à l’onboarding.</w:t>
      </w:r>
    </w:p>
    <w:p>
      <w:pPr>
        <w:spacing w:after="160"/>
      </w:pPr>
      <w:r>
        <w:t xml:space="preserve">Aucun de ces éléments n’est un score marketing inventé : chacun découle directement du rayon et du type de clientèle déjà décrits comme filtrés par l’agent.</w:t>
      </w:r>
    </w:p>
    <w:p>
      <w:pPr>
        <w:pStyle w:val="Heading2"/>
      </w:pPr>
      <w:r>
        <w:t xml:space="preserve">Étape 6 — Conversion</w:t>
      </w:r>
    </w:p>
    <w:p>
      <w:pPr>
        <w:spacing w:after="160"/>
      </w:pPr>
      <w:r>
        <w:t xml:space="preserve">Présenter l’offre après le rapport de secteur, jamais avant — au moment où la valeur vient d’être démontrée. Structure réelle, déjà existante, à réutiliser telle quelle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Offre</w:t>
            </w:r>
          </w:p>
        </w:tc>
        <w:tc>
          <w:tcPr>
            <w:tcW w:type="dxa" w:w="2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Prix</w:t>
            </w:r>
          </w:p>
        </w:tc>
        <w:tc>
          <w:tcPr>
            <w:tcW w:type="dxa" w:w="5000"/>
            <w:shd w:fill="111418" w:val="clear"/>
            <w:tcMar>
              <w:top w:type="dxa" w:w="90"/>
              <w:left w:type="dxa" w:w="110"/>
              <w:bottom w:type="dxa" w:w="90"/>
              <w:right w:type="dxa" w:w="110"/>
            </w:tcMar>
            <w:vAlign w:val="center"/>
          </w:tcPr>
          <w:p>
            <w:pPr>
              <w:spacing w:after="40"/>
              <w:jc w:val="left"/>
            </w:pPr>
            <w:r>
              <w:rPr>
                <w:b/>
                <w:bCs/>
                <w:color w:val="FFFFFF"/>
                <w:sz w:val="17"/>
                <w:szCs w:val="17"/>
              </w:rPr>
              <w:t xml:space="preserve">Inclus (résumé réel)</w:t>
            </w:r>
          </w:p>
        </w:tc>
      </w:tr>
      <w:tr>
        <w:tc>
          <w:tcPr>
            <w:tcW w:type="dxa" w:w="2400"/>
            <w:tcMar>
              <w:top w:type="dxa" w:w="90"/>
              <w:left w:type="dxa" w:w="110"/>
              <w:bottom w:type="dxa" w:w="90"/>
              <w:right w:type="dxa" w:w="110"/>
            </w:tcMar>
            <w:vAlign w:val="center"/>
          </w:tcPr>
          <w:p>
            <w:pPr>
              <w:spacing w:after="40"/>
              <w:jc w:val="left"/>
            </w:pPr>
            <w:r>
              <w:rPr>
                <w:b w:val="false"/>
                <w:bCs w:val="false"/>
                <w:sz w:val="17"/>
                <w:szCs w:val="17"/>
              </w:rPr>
              <w:t xml:space="preserve">Agent seul</w:t>
            </w:r>
          </w:p>
        </w:tc>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17 €/mois</w:t>
            </w:r>
          </w:p>
        </w:tc>
        <w:tc>
          <w:tcPr>
            <w:tcW w:type="dxa" w:w="5000"/>
            <w:tcMar>
              <w:top w:type="dxa" w:w="90"/>
              <w:left w:type="dxa" w:w="110"/>
              <w:bottom w:type="dxa" w:w="90"/>
              <w:right w:type="dxa" w:w="110"/>
            </w:tcMar>
            <w:vAlign w:val="center"/>
          </w:tcPr>
          <w:p>
            <w:pPr>
              <w:spacing w:after="40"/>
              <w:jc w:val="left"/>
            </w:pPr>
            <w:r>
              <w:rPr>
                <w:b w:val="false"/>
                <w:bCs w:val="false"/>
                <w:sz w:val="17"/>
                <w:szCs w:val="17"/>
              </w:rPr>
              <w:t xml:space="preserve">Prospection sur toutes les communes, premier message géré, rapport de secteur. Première zone gratuite, sans CB.</w:t>
            </w:r>
          </w:p>
        </w:tc>
      </w:tr>
      <w:tr>
        <w:tc>
          <w:tcPr>
            <w:tcW w:type="dxa" w:w="2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Système seul</w:t>
            </w:r>
          </w:p>
        </w:tc>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49 €/mois</w:t>
            </w:r>
          </w:p>
        </w:tc>
        <w:tc>
          <w:tcPr>
            <w:tcW w:type="dxa" w:w="5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Prix ferme affiché, acompte encaissé au clic, relance automatique, trajet géocodé, factures France/Suisse.</w:t>
            </w:r>
          </w:p>
        </w:tc>
      </w:tr>
      <w:tr>
        <w:tc>
          <w:tcPr>
            <w:tcW w:type="dxa" w:w="2400"/>
            <w:tcMar>
              <w:top w:type="dxa" w:w="90"/>
              <w:left w:type="dxa" w:w="110"/>
              <w:bottom w:type="dxa" w:w="90"/>
              <w:right w:type="dxa" w:w="110"/>
            </w:tcMar>
            <w:vAlign w:val="center"/>
          </w:tcPr>
          <w:p>
            <w:pPr>
              <w:spacing w:after="40"/>
              <w:jc w:val="left"/>
            </w:pPr>
            <w:r>
              <w:rPr>
                <w:b w:val="false"/>
                <w:bCs w:val="false"/>
                <w:sz w:val="17"/>
                <w:szCs w:val="17"/>
              </w:rPr>
              <w:t xml:space="preserve">Pack complet (le plus pris)</w:t>
            </w:r>
          </w:p>
        </w:tc>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59 €/mois (au lieu de 66 € séparément)</w:t>
            </w:r>
          </w:p>
        </w:tc>
        <w:tc>
          <w:tcPr>
            <w:tcW w:type="dxa" w:w="5000"/>
            <w:tcMar>
              <w:top w:type="dxa" w:w="90"/>
              <w:left w:type="dxa" w:w="110"/>
              <w:bottom w:type="dxa" w:w="90"/>
              <w:right w:type="dxa" w:w="110"/>
            </w:tcMar>
            <w:vAlign w:val="center"/>
          </w:tcPr>
          <w:p>
            <w:pPr>
              <w:spacing w:after="40"/>
              <w:jc w:val="left"/>
            </w:pPr>
            <w:r>
              <w:rPr>
                <w:b w:val="false"/>
                <w:bCs w:val="false"/>
                <w:sz w:val="17"/>
                <w:szCs w:val="17"/>
              </w:rPr>
              <w:t xml:space="preserve">Les deux précédents réunis, même agenda, une seule facture. Démo complète, sans inscription.</w:t>
            </w:r>
          </w:p>
        </w:tc>
      </w:tr>
    </w:tbl>
    <w:p>
      <w:pPr>
        <w:spacing w:after="160"/>
      </w:pPr>
      <w:r>
        <w:t xml:space="preserve">Remise de -20% déjà prévue à l’engagement annuel (bascule déjà présente dans le composant tarifs). FAQ déjà en place pour désamorcer les objections listées en §1. Aucune garantie « satisfait ou remboursé » n’existe aujourd’hui : ne pas en inventer une — le levier de réassurance réel et déjà vrai est l’essai sans carte bancaire.</w:t>
      </w:r>
    </w:p>
    <w:p>
      <w:r>
        <w:br w:type="page"/>
      </w:r>
    </w:p>
    <w:p>
      <w:pPr>
        <w:pStyle w:val="Heading1"/>
      </w:pPr>
      <w:r>
        <w:t xml:space="preserve">6. Activation et rétention</w:t>
      </w:r>
    </w:p>
    <w:p>
      <w:pPr>
        <w:spacing w:after="160"/>
      </w:pPr>
      <w:r>
        <w:t xml:space="preserve">L’infrastructure d’e-mail existe déjà (Resend, réellement connecté) mais seulement pour deux usages : accuser réception d’un message de contact, et notifier Dorian d’un nouveau contact. Aucune séquence de cycle de vie n’existe — les 8 séquences suivantes sont donc entièrement à construire, pas à adapter.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00"/>
      </w:tblGrid>
      <w:tr>
        <w:trPr>
          <w:tblHeader/>
        </w:trPr>
        <w:tc>
          <w:tcPr>
            <w:tcW w:type="dxa" w:w="2000"/>
            <w:shd w:fill="111418" w:val="clear"/>
            <w:tcMar>
              <w:top w:type="dxa" w:w="90"/>
              <w:left w:type="dxa" w:w="110"/>
              <w:bottom w:type="dxa" w:w="90"/>
              <w:right w:type="dxa" w:w="110"/>
            </w:tcMar>
            <w:vAlign w:val="center"/>
          </w:tcPr>
          <w:p>
            <w:pPr>
              <w:spacing w:after="40"/>
              <w:jc w:val="left"/>
            </w:pPr>
            <w:r>
              <w:rPr>
                <w:b/>
                <w:bCs/>
                <w:color w:val="FFFFFF"/>
                <w:sz w:val="17"/>
                <w:szCs w:val="17"/>
              </w:rPr>
              <w:t xml:space="preserve">Séquence</w:t>
            </w:r>
          </w:p>
        </w:tc>
        <w:tc>
          <w:tcPr>
            <w:tcW w:type="dxa" w:w="2600"/>
            <w:shd w:fill="111418" w:val="clear"/>
            <w:tcMar>
              <w:top w:type="dxa" w:w="90"/>
              <w:left w:type="dxa" w:w="110"/>
              <w:bottom w:type="dxa" w:w="90"/>
              <w:right w:type="dxa" w:w="110"/>
            </w:tcMar>
            <w:vAlign w:val="center"/>
          </w:tcPr>
          <w:p>
            <w:pPr>
              <w:spacing w:after="40"/>
              <w:jc w:val="left"/>
            </w:pPr>
            <w:r>
              <w:rPr>
                <w:b/>
                <w:bCs/>
                <w:color w:val="FFFFFF"/>
                <w:sz w:val="17"/>
                <w:szCs w:val="17"/>
              </w:rPr>
              <w:t xml:space="preserve">Objet</w:t>
            </w:r>
          </w:p>
        </w:tc>
        <w:tc>
          <w:tcPr>
            <w:tcW w:type="dxa" w:w="5000"/>
            <w:shd w:fill="111418" w:val="clear"/>
            <w:tcMar>
              <w:top w:type="dxa" w:w="90"/>
              <w:left w:type="dxa" w:w="110"/>
              <w:bottom w:type="dxa" w:w="90"/>
              <w:right w:type="dxa" w:w="110"/>
            </w:tcMar>
            <w:vAlign w:val="center"/>
          </w:tcPr>
          <w:p>
            <w:pPr>
              <w:spacing w:after="40"/>
              <w:jc w:val="left"/>
            </w:pPr>
            <w:r>
              <w:rPr>
                <w:b/>
                <w:bCs/>
                <w:color w:val="FFFFFF"/>
                <w:sz w:val="17"/>
                <w:szCs w:val="17"/>
              </w:rPr>
              <w:t xml:space="preserve">Contenu / CTA / Déclencheur / Délai</w:t>
            </w:r>
          </w:p>
        </w:tc>
      </w:tr>
      <w:tr>
        <w:tc>
          <w:tcPr>
            <w:tcW w:type="dxa" w:w="2000"/>
            <w:tcMar>
              <w:top w:type="dxa" w:w="90"/>
              <w:left w:type="dxa" w:w="110"/>
              <w:bottom w:type="dxa" w:w="90"/>
              <w:right w:type="dxa" w:w="110"/>
            </w:tcMar>
            <w:vAlign w:val="center"/>
          </w:tcPr>
          <w:p>
            <w:pPr>
              <w:spacing w:after="40"/>
              <w:jc w:val="left"/>
            </w:pPr>
            <w:r>
              <w:rPr>
                <w:b w:val="false"/>
                <w:bCs w:val="false"/>
                <w:sz w:val="17"/>
                <w:szCs w:val="17"/>
              </w:rPr>
              <w:t xml:space="preserve">1. Bienvenue</w:t>
            </w:r>
          </w:p>
        </w:tc>
        <w:tc>
          <w:tcPr>
            <w:tcW w:type="dxa" w:w="2600"/>
            <w:tcMar>
              <w:top w:type="dxa" w:w="90"/>
              <w:left w:type="dxa" w:w="110"/>
              <w:bottom w:type="dxa" w:w="90"/>
              <w:right w:type="dxa" w:w="110"/>
            </w:tcMar>
            <w:vAlign w:val="center"/>
          </w:tcPr>
          <w:p>
            <w:pPr>
              <w:spacing w:after="40"/>
              <w:jc w:val="left"/>
            </w:pPr>
            <w:r>
              <w:rPr>
                <w:b w:val="false"/>
                <w:bCs w:val="false"/>
                <w:sz w:val="17"/>
                <w:szCs w:val="17"/>
              </w:rPr>
              <w:t xml:space="preserve">Bienvenue chez Qualifyr, {prénom}</w:t>
            </w:r>
          </w:p>
        </w:tc>
        <w:tc>
          <w:tcPr>
            <w:tcW w:type="dxa" w:w="5000"/>
            <w:tcMar>
              <w:top w:type="dxa" w:w="90"/>
              <w:left w:type="dxa" w:w="110"/>
              <w:bottom w:type="dxa" w:w="90"/>
              <w:right w:type="dxa" w:w="110"/>
            </w:tcMar>
            <w:vAlign w:val="center"/>
          </w:tcPr>
          <w:p>
            <w:pPr>
              <w:spacing w:after="40"/>
              <w:jc w:val="left"/>
            </w:pPr>
            <w:r>
              <w:rPr>
                <w:b w:val="false"/>
                <w:bCs w:val="false"/>
                <w:sz w:val="17"/>
                <w:szCs w:val="17"/>
              </w:rPr>
              <w:t xml:space="preserve">Contenu : Confirme la création du compte et la zone activée ; rappelle les 3 prochaines minutes (tarifs, Stripe, premier rapport).
CTA : Voir mon tableau de bord
Déclencheur : Compte créé
Délai : Immédiat</w:t>
            </w:r>
          </w:p>
        </w:tc>
      </w:tr>
      <w:tr>
        <w:tc>
          <w:tcPr>
            <w:tcW w:type="dxa" w:w="2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2. Activation</w:t>
            </w:r>
          </w:p>
        </w:tc>
        <w:tc>
          <w:tcPr>
            <w:tcW w:type="dxa" w:w="26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Votre rapport de secteur est prêt</w:t>
            </w:r>
          </w:p>
        </w:tc>
        <w:tc>
          <w:tcPr>
            <w:tcW w:type="dxa" w:w="5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Contenu : Livre le premier résultat concret (§5, étape 5) avec les chiffres réels de la zone.
CTA : Voir mon rapport
Déclencheur : Onboarding terminé
Délai : Immédiat après le rapport</w:t>
            </w:r>
          </w:p>
        </w:tc>
      </w:tr>
      <w:tr>
        <w:tc>
          <w:tcPr>
            <w:tcW w:type="dxa" w:w="2000"/>
            <w:tcMar>
              <w:top w:type="dxa" w:w="90"/>
              <w:left w:type="dxa" w:w="110"/>
              <w:bottom w:type="dxa" w:w="90"/>
              <w:right w:type="dxa" w:w="110"/>
            </w:tcMar>
            <w:vAlign w:val="center"/>
          </w:tcPr>
          <w:p>
            <w:pPr>
              <w:spacing w:after="40"/>
              <w:jc w:val="left"/>
            </w:pPr>
            <w:r>
              <w:rPr>
                <w:b w:val="false"/>
                <w:bCs w:val="false"/>
                <w:sz w:val="17"/>
                <w:szCs w:val="17"/>
              </w:rPr>
              <w:t xml:space="preserve">3. Onboarding inachevé</w:t>
            </w:r>
          </w:p>
        </w:tc>
        <w:tc>
          <w:tcPr>
            <w:tcW w:type="dxa" w:w="2600"/>
            <w:tcMar>
              <w:top w:type="dxa" w:w="90"/>
              <w:left w:type="dxa" w:w="110"/>
              <w:bottom w:type="dxa" w:w="90"/>
              <w:right w:type="dxa" w:w="110"/>
            </w:tcMar>
            <w:vAlign w:val="center"/>
          </w:tcPr>
          <w:p>
            <w:pPr>
              <w:spacing w:after="40"/>
              <w:jc w:val="left"/>
            </w:pPr>
            <w:r>
              <w:rPr>
                <w:b w:val="false"/>
                <w:bCs w:val="false"/>
                <w:sz w:val="17"/>
                <w:szCs w:val="17"/>
              </w:rPr>
              <w:t xml:space="preserve">Il vous reste 2 minutes pour activer votre zone</w:t>
            </w:r>
          </w:p>
        </w:tc>
        <w:tc>
          <w:tcPr>
            <w:tcW w:type="dxa" w:w="5000"/>
            <w:tcMar>
              <w:top w:type="dxa" w:w="90"/>
              <w:left w:type="dxa" w:w="110"/>
              <w:bottom w:type="dxa" w:w="90"/>
              <w:right w:type="dxa" w:w="110"/>
            </w:tcMar>
            <w:vAlign w:val="center"/>
          </w:tcPr>
          <w:p>
            <w:pPr>
              <w:spacing w:after="40"/>
              <w:jc w:val="left"/>
            </w:pPr>
            <w:r>
              <w:rPr>
                <w:b w:val="false"/>
                <w:bCs w:val="false"/>
                <w:sz w:val="17"/>
                <w:szCs w:val="17"/>
              </w:rPr>
              <w:t xml:space="preserve">Contenu : Rappelle l’étape précise non terminée, pas un rappel générique.
CTA : Reprendre où j’en étais
Déclencheur : Onboarding commencé, non terminé
Délai : J+1</w:t>
            </w:r>
          </w:p>
        </w:tc>
      </w:tr>
      <w:tr>
        <w:tc>
          <w:tcPr>
            <w:tcW w:type="dxa" w:w="2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4. Premier résultat disponible</w:t>
            </w:r>
          </w:p>
        </w:tc>
        <w:tc>
          <w:tcPr>
            <w:tcW w:type="dxa" w:w="26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{Ville} : {N} opportunités identifiées cette semaine</w:t>
            </w:r>
          </w:p>
        </w:tc>
        <w:tc>
          <w:tcPr>
            <w:tcW w:type="dxa" w:w="5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Contenu : Chiffre réel de la zone, pas un exemple générique — donne une raison concrète de revenir.
CTA : Voir le détail
Déclencheur : Rapport de secteur généré
Délai : J+3 après le rapport</w:t>
            </w:r>
          </w:p>
        </w:tc>
      </w:tr>
      <w:tr>
        <w:tc>
          <w:tcPr>
            <w:tcW w:type="dxa" w:w="2000"/>
            <w:tcMar>
              <w:top w:type="dxa" w:w="90"/>
              <w:left w:type="dxa" w:w="110"/>
              <w:bottom w:type="dxa" w:w="90"/>
              <w:right w:type="dxa" w:w="110"/>
            </w:tcMar>
            <w:vAlign w:val="center"/>
          </w:tcPr>
          <w:p>
            <w:pPr>
              <w:spacing w:after="40"/>
              <w:jc w:val="left"/>
            </w:pPr>
            <w:r>
              <w:rPr>
                <w:b w:val="false"/>
                <w:bCs w:val="false"/>
                <w:sz w:val="17"/>
                <w:szCs w:val="17"/>
              </w:rPr>
              <w:t xml:space="preserve">5. Relance inactivité</w:t>
            </w:r>
          </w:p>
        </w:tc>
        <w:tc>
          <w:tcPr>
            <w:tcW w:type="dxa" w:w="2600"/>
            <w:tcMar>
              <w:top w:type="dxa" w:w="90"/>
              <w:left w:type="dxa" w:w="110"/>
              <w:bottom w:type="dxa" w:w="90"/>
              <w:right w:type="dxa" w:w="110"/>
            </w:tcMar>
            <w:vAlign w:val="center"/>
          </w:tcPr>
          <w:p>
            <w:pPr>
              <w:spacing w:after="40"/>
              <w:jc w:val="left"/>
            </w:pPr>
            <w:r>
              <w:rPr>
                <w:b w:val="false"/>
                <w:bCs w:val="false"/>
                <w:sz w:val="17"/>
                <w:szCs w:val="17"/>
              </w:rPr>
              <w:t xml:space="preserve">Votre zone de prospection tourne toujours</w:t>
            </w:r>
          </w:p>
        </w:tc>
        <w:tc>
          <w:tcPr>
            <w:tcW w:type="dxa" w:w="5000"/>
            <w:tcMar>
              <w:top w:type="dxa" w:w="90"/>
              <w:left w:type="dxa" w:w="110"/>
              <w:bottom w:type="dxa" w:w="90"/>
              <w:right w:type="dxa" w:w="110"/>
            </w:tcMar>
            <w:vAlign w:val="center"/>
          </w:tcPr>
          <w:p>
            <w:pPr>
              <w:spacing w:after="40"/>
              <w:jc w:val="left"/>
            </w:pPr>
            <w:r>
              <w:rPr>
                <w:b w:val="false"/>
                <w:bCs w:val="false"/>
                <w:sz w:val="17"/>
                <w:szCs w:val="17"/>
              </w:rPr>
              <w:t xml:space="preserve">Contenu : Rappelle que l’agent travaille même sans connexion — pas une relance culpabilisante.
CTA : Voir ce qui s’est passé
Déclencheur : Aucune connexion depuis 14 jours
Délai : J+14 sans connexion</w:t>
            </w:r>
          </w:p>
        </w:tc>
      </w:tr>
      <w:tr>
        <w:tc>
          <w:tcPr>
            <w:tcW w:type="dxa" w:w="2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6. Conversion payante</w:t>
            </w:r>
          </w:p>
        </w:tc>
        <w:tc>
          <w:tcPr>
            <w:tcW w:type="dxa" w:w="26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Passer à l’abonnement complet</w:t>
            </w:r>
          </w:p>
        </w:tc>
        <w:tc>
          <w:tcPr>
            <w:tcW w:type="dxa" w:w="5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Contenu : Compare l’usage réel de l’essai gratuit à ce que l’abonnement payant débloquerait, avec les prix réels.
CTA : Voir les offres
Déclencheur : Fin de la zone gratuite ou 14 jours d’essai
Délai : J-3 avant fin d’essai</w:t>
            </w:r>
          </w:p>
        </w:tc>
      </w:tr>
      <w:tr>
        <w:tc>
          <w:tcPr>
            <w:tcW w:type="dxa" w:w="2000"/>
            <w:tcMar>
              <w:top w:type="dxa" w:w="90"/>
              <w:left w:type="dxa" w:w="110"/>
              <w:bottom w:type="dxa" w:w="90"/>
              <w:right w:type="dxa" w:w="110"/>
            </w:tcMar>
            <w:vAlign w:val="center"/>
          </w:tcPr>
          <w:p>
            <w:pPr>
              <w:spacing w:after="40"/>
              <w:jc w:val="left"/>
            </w:pPr>
            <w:r>
              <w:rPr>
                <w:b w:val="false"/>
                <w:bCs w:val="false"/>
                <w:sz w:val="17"/>
                <w:szCs w:val="17"/>
              </w:rPr>
              <w:t xml:space="preserve">7. Fidélisation</w:t>
            </w:r>
          </w:p>
        </w:tc>
        <w:tc>
          <w:tcPr>
            <w:tcW w:type="dxa" w:w="2600"/>
            <w:tcMar>
              <w:top w:type="dxa" w:w="90"/>
              <w:left w:type="dxa" w:w="110"/>
              <w:bottom w:type="dxa" w:w="90"/>
              <w:right w:type="dxa" w:w="110"/>
            </w:tcMar>
            <w:vAlign w:val="center"/>
          </w:tcPr>
          <w:p>
            <w:pPr>
              <w:spacing w:after="40"/>
              <w:jc w:val="left"/>
            </w:pPr>
            <w:r>
              <w:rPr>
                <w:b w:val="false"/>
                <w:bCs w:val="false"/>
                <w:sz w:val="17"/>
                <w:szCs w:val="17"/>
              </w:rPr>
              <w:t xml:space="preserve">Ce que Qualifyr a fait pour vous ce mois-ci</w:t>
            </w:r>
          </w:p>
        </w:tc>
        <w:tc>
          <w:tcPr>
            <w:tcW w:type="dxa" w:w="5000"/>
            <w:tcMar>
              <w:top w:type="dxa" w:w="90"/>
              <w:left w:type="dxa" w:w="110"/>
              <w:bottom w:type="dxa" w:w="90"/>
              <w:right w:type="dxa" w:w="110"/>
            </w:tcMar>
            <w:vAlign w:val="center"/>
          </w:tcPr>
          <w:p>
            <w:pPr>
              <w:spacing w:after="40"/>
              <w:jc w:val="left"/>
            </w:pPr>
            <w:r>
              <w:rPr>
                <w:b w:val="false"/>
                <w:bCs w:val="false"/>
                <w:sz w:val="17"/>
                <w:szCs w:val="17"/>
              </w:rPr>
              <w:t xml:space="preserve">Contenu : Récapitulatif mensuel réel (rendez-vous honorés, acomptes encaissés) — transforme l’usage en habitude.
CTA : Voir le récapitulatif
Déclencheur : Fin de mois, compte actif
Délai : Mensuel, 1er du mois</w:t>
            </w:r>
          </w:p>
        </w:tc>
      </w:tr>
      <w:tr>
        <w:tc>
          <w:tcPr>
            <w:tcW w:type="dxa" w:w="2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8. Demande de témoignage</w:t>
            </w:r>
          </w:p>
        </w:tc>
        <w:tc>
          <w:tcPr>
            <w:tcW w:type="dxa" w:w="26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Une minute pour nous aider ?</w:t>
            </w:r>
          </w:p>
        </w:tc>
        <w:tc>
          <w:tcPr>
            <w:tcW w:type="dxa" w:w="5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Contenu : Envoyé uniquement à un compte actif depuis plusieurs semaines avec des résultats réels — jamais simulé.
CTA : Répondre en 1 minute
Déclencheur : 30 jours d’activité continue
Délai : Une fois, à J+30</w:t>
            </w:r>
          </w:p>
        </w:tc>
      </w:tr>
    </w:tbl>
    <w:p>
      <w:pPr>
        <w:pStyle w:val="Heading2"/>
      </w:pPr>
      <w:r>
        <w:t xml:space="preserve">Réduire l’abandon pendant l’inscription</w:t>
      </w:r>
    </w:p>
    <w:p>
      <w:pPr>
        <w:pStyle w:val="ListParagraph"/>
        <w:numPr>
          <w:ilvl w:val="0"/>
          <w:numId w:val="2"/>
        </w:numPr>
        <w:spacing w:after="80"/>
      </w:pPr>
      <w:r>
        <w:t xml:space="preserve">Pré-remplir l’e-mail entre qualification et création de compte (§5) pour ne jamais faire retaper une information déjà donnée.</w:t>
      </w:r>
    </w:p>
    <w:p>
      <w:pPr>
        <w:pStyle w:val="ListParagraph"/>
        <w:numPr>
          <w:ilvl w:val="0"/>
          <w:numId w:val="2"/>
        </w:numPr>
        <w:spacing w:after="80"/>
      </w:pPr>
      <w:r>
        <w:t xml:space="preserve">Autoriser « plus tard » sur la connexion Stripe de l’onboarding — ne jamais bloquer l’accès au premier résultat pour une étape secondaire.</w:t>
      </w:r>
    </w:p>
    <w:p>
      <w:pPr>
        <w:pStyle w:val="ListParagraph"/>
        <w:numPr>
          <w:ilvl w:val="0"/>
          <w:numId w:val="2"/>
        </w:numPr>
        <w:spacing w:after="80"/>
      </w:pPr>
      <w:r>
        <w:t xml:space="preserve">Un seul écran de qualification, jamais un formulaire multi-pages avant la création de compte.</w:t>
      </w:r>
    </w:p>
    <w:p>
      <w:r>
        <w:br w:type="page"/>
      </w:r>
    </w:p>
    <w:p>
      <w:pPr>
        <w:pStyle w:val="Heading1"/>
      </w:pPr>
      <w:r>
        <w:t xml:space="preserve">7. Growth hacking éthique</w:t>
      </w:r>
    </w:p>
    <w:p>
      <w:pPr>
        <w:spacing w:after="160"/>
      </w:pPr>
      <w:r>
        <w:t xml:space="preserve">Explicitement exclu, conformément à la demande : spam, faux avis, achat de liens, dark patterns, fausses urgences, promesses invérifiables, collecte abusive de données. Aucune expérience ci-dessous n’en dépend.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000"/>
        <w:gridCol w:w="1000"/>
        <w:gridCol w:w="900"/>
        <w:gridCol w:w="2400"/>
      </w:tblGrid>
      <w:tr>
        <w:trPr>
          <w:tblHeader/>
        </w:trPr>
        <w:tc>
          <w:tcPr>
            <w:tcW w:type="dxa" w:w="3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Expérience</w:t>
            </w:r>
          </w:p>
        </w:tc>
        <w:tc>
          <w:tcPr>
            <w:tcW w:type="dxa" w:w="900"/>
            <w:shd w:fill="111418" w:val="clear"/>
            <w:tcMar>
              <w:top w:type="dxa" w:w="90"/>
              <w:left w:type="dxa" w:w="110"/>
              <w:bottom w:type="dxa" w:w="90"/>
              <w:right w:type="dxa" w:w="110"/>
            </w:tcMar>
            <w:vAlign w:val="center"/>
          </w:tcPr>
          <w:p>
            <w:pPr>
              <w:spacing w:after="40"/>
              <w:jc w:val="left"/>
            </w:pPr>
            <w:r>
              <w:rPr>
                <w:b/>
                <w:bCs/>
                <w:color w:val="FFFFFF"/>
                <w:sz w:val="17"/>
                <w:szCs w:val="17"/>
              </w:rPr>
              <w:t xml:space="preserve">Impact</w:t>
            </w:r>
          </w:p>
        </w:tc>
        <w:tc>
          <w:tcPr>
            <w:tcW w:type="dxa" w:w="1000"/>
            <w:shd w:fill="111418" w:val="clear"/>
            <w:tcMar>
              <w:top w:type="dxa" w:w="90"/>
              <w:left w:type="dxa" w:w="110"/>
              <w:bottom w:type="dxa" w:w="90"/>
              <w:right w:type="dxa" w:w="110"/>
            </w:tcMar>
            <w:vAlign w:val="center"/>
          </w:tcPr>
          <w:p>
            <w:pPr>
              <w:spacing w:after="40"/>
              <w:jc w:val="left"/>
            </w:pPr>
            <w:r>
              <w:rPr>
                <w:b/>
                <w:bCs/>
                <w:color w:val="FFFFFF"/>
                <w:sz w:val="17"/>
                <w:szCs w:val="17"/>
              </w:rPr>
              <w:t xml:space="preserve">Difficulté</w:t>
            </w:r>
          </w:p>
        </w:tc>
        <w:tc>
          <w:tcPr>
            <w:tcW w:type="dxa" w:w="1000"/>
            <w:shd w:fill="111418" w:val="clear"/>
            <w:tcMar>
              <w:top w:type="dxa" w:w="90"/>
              <w:left w:type="dxa" w:w="110"/>
              <w:bottom w:type="dxa" w:w="90"/>
              <w:right w:type="dxa" w:w="110"/>
            </w:tcMar>
            <w:vAlign w:val="center"/>
          </w:tcPr>
          <w:p>
            <w:pPr>
              <w:spacing w:after="40"/>
              <w:jc w:val="left"/>
            </w:pPr>
            <w:r>
              <w:rPr>
                <w:b/>
                <w:bCs/>
                <w:color w:val="FFFFFF"/>
                <w:sz w:val="17"/>
                <w:szCs w:val="17"/>
              </w:rPr>
              <w:t xml:space="preserve">Coût</w:t>
            </w:r>
          </w:p>
        </w:tc>
        <w:tc>
          <w:tcPr>
            <w:tcW w:type="dxa" w:w="900"/>
            <w:shd w:fill="111418" w:val="clear"/>
            <w:tcMar>
              <w:top w:type="dxa" w:w="90"/>
              <w:left w:type="dxa" w:w="110"/>
              <w:bottom w:type="dxa" w:w="90"/>
              <w:right w:type="dxa" w:w="110"/>
            </w:tcMar>
            <w:vAlign w:val="center"/>
          </w:tcPr>
          <w:p>
            <w:pPr>
              <w:spacing w:after="40"/>
              <w:jc w:val="left"/>
            </w:pPr>
            <w:r>
              <w:rPr>
                <w:b/>
                <w:bCs/>
                <w:color w:val="FFFFFF"/>
                <w:sz w:val="17"/>
                <w:szCs w:val="17"/>
              </w:rPr>
              <w:t xml:space="preserve">Délai</w:t>
            </w:r>
          </w:p>
        </w:tc>
        <w:tc>
          <w:tcPr>
            <w:tcW w:type="dxa" w:w="2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Métrique suivie</w:t>
            </w:r>
          </w:p>
        </w:tc>
      </w:tr>
      <w:tr>
        <w:tc>
          <w:tcPr>
            <w:tcW w:type="dxa" w:w="3200"/>
            <w:tcMar>
              <w:top w:type="dxa" w:w="90"/>
              <w:left w:type="dxa" w:w="110"/>
              <w:bottom w:type="dxa" w:w="90"/>
              <w:right w:type="dxa" w:w="110"/>
            </w:tcMar>
            <w:vAlign w:val="center"/>
          </w:tcPr>
          <w:p>
            <w:pPr>
              <w:spacing w:after="40"/>
              <w:jc w:val="left"/>
            </w:pPr>
            <w:r>
              <w:rPr>
                <w:b w:val="false"/>
                <w:bCs w:val="false"/>
                <w:sz w:val="17"/>
                <w:szCs w:val="17"/>
              </w:rPr>
              <w:t xml:space="preserve">Test A/B du CTA principal (« Tester gratuitement » vs « Obtenir mon diagnostic »)</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Moyen</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Faible</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Nul</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1-2 sem.</w:t>
            </w:r>
          </w:p>
        </w:tc>
        <w:tc>
          <w:tcPr>
            <w:tcW w:type="dxa" w:w="2400"/>
            <w:tcMar>
              <w:top w:type="dxa" w:w="90"/>
              <w:left w:type="dxa" w:w="110"/>
              <w:bottom w:type="dxa" w:w="90"/>
              <w:right w:type="dxa" w:w="110"/>
            </w:tcMar>
            <w:vAlign w:val="center"/>
          </w:tcPr>
          <w:p>
            <w:pPr>
              <w:spacing w:after="40"/>
              <w:jc w:val="left"/>
            </w:pPr>
            <w:r>
              <w:rPr>
                <w:b w:val="false"/>
                <w:bCs w:val="false"/>
                <w:sz w:val="17"/>
                <w:szCs w:val="17"/>
              </w:rPr>
              <w:t xml:space="preserve">Taux de clic CTA</w:t>
            </w:r>
          </w:p>
        </w:tc>
      </w:tr>
      <w:tr>
        <w:tc>
          <w:tcPr>
            <w:tcW w:type="dxa" w:w="3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Pages SEO par usage (devis, prise de rendez-vous, facturation lavage auto)</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Fort</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Moyenne</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Faible</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3-4 sem.</w:t>
            </w:r>
          </w:p>
        </w:tc>
        <w:tc>
          <w:tcPr>
            <w:tcW w:type="dxa" w:w="2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Trafic organique par page</w:t>
            </w:r>
          </w:p>
        </w:tc>
      </w:tr>
      <w:tr>
        <w:tc>
          <w:tcPr>
            <w:tcW w:type="dxa" w:w="3200"/>
            <w:tcMar>
              <w:top w:type="dxa" w:w="90"/>
              <w:left w:type="dxa" w:w="110"/>
              <w:bottom w:type="dxa" w:w="90"/>
              <w:right w:type="dxa" w:w="110"/>
            </w:tcMar>
            <w:vAlign w:val="center"/>
          </w:tcPr>
          <w:p>
            <w:pPr>
              <w:spacing w:after="40"/>
              <w:jc w:val="left"/>
            </w:pPr>
            <w:r>
              <w:rPr>
                <w:b w:val="false"/>
                <w:bCs w:val="false"/>
                <w:sz w:val="17"/>
                <w:szCs w:val="17"/>
              </w:rPr>
              <w:t xml:space="preserve">Rapport de secteur gratuit en avant-goût (avant inscription, e-mail requis seulement)</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Fort</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Moyenne</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Faible</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2-3 sem.</w:t>
            </w:r>
          </w:p>
        </w:tc>
        <w:tc>
          <w:tcPr>
            <w:tcW w:type="dxa" w:w="2400"/>
            <w:tcMar>
              <w:top w:type="dxa" w:w="90"/>
              <w:left w:type="dxa" w:w="110"/>
              <w:bottom w:type="dxa" w:w="90"/>
              <w:right w:type="dxa" w:w="110"/>
            </w:tcMar>
            <w:vAlign w:val="center"/>
          </w:tcPr>
          <w:p>
            <w:pPr>
              <w:spacing w:after="40"/>
              <w:jc w:val="left"/>
            </w:pPr>
            <w:r>
              <w:rPr>
                <w:b w:val="false"/>
                <w:bCs w:val="false"/>
                <w:sz w:val="17"/>
                <w:szCs w:val="17"/>
              </w:rPr>
              <w:t xml:space="preserve">Taux qualification → e-mail</w:t>
            </w:r>
          </w:p>
        </w:tc>
      </w:tr>
      <w:tr>
        <w:tc>
          <w:tcPr>
            <w:tcW w:type="dxa" w:w="3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Programme de recommandation entre laveurs (1 mois offert par filleul actif)</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Moyen</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Moyenne</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Faible</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3-4 sem.</w:t>
            </w:r>
          </w:p>
        </w:tc>
        <w:tc>
          <w:tcPr>
            <w:tcW w:type="dxa" w:w="2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Comptes créés par parrainage</w:t>
            </w:r>
          </w:p>
        </w:tc>
      </w:tr>
      <w:tr>
        <w:tc>
          <w:tcPr>
            <w:tcW w:type="dxa" w:w="3200"/>
            <w:tcMar>
              <w:top w:type="dxa" w:w="90"/>
              <w:left w:type="dxa" w:w="110"/>
              <w:bottom w:type="dxa" w:w="90"/>
              <w:right w:type="dxa" w:w="110"/>
            </w:tcMar>
            <w:vAlign w:val="center"/>
          </w:tcPr>
          <w:p>
            <w:pPr>
              <w:spacing w:after="40"/>
              <w:jc w:val="left"/>
            </w:pPr>
            <w:r>
              <w:rPr>
                <w:b w:val="false"/>
                <w:bCs w:val="false"/>
                <w:sz w:val="17"/>
                <w:szCs w:val="17"/>
              </w:rPr>
              <w:t xml:space="preserve">Vrais cas clients dès les premiers utilisateurs actifs (jamais simulés)</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Fort</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Faible</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Nul</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Continu</w:t>
            </w:r>
          </w:p>
        </w:tc>
        <w:tc>
          <w:tcPr>
            <w:tcW w:type="dxa" w:w="2400"/>
            <w:tcMar>
              <w:top w:type="dxa" w:w="90"/>
              <w:left w:type="dxa" w:w="110"/>
              <w:bottom w:type="dxa" w:w="90"/>
              <w:right w:type="dxa" w:w="110"/>
            </w:tcMar>
            <w:vAlign w:val="center"/>
          </w:tcPr>
          <w:p>
            <w:pPr>
              <w:spacing w:after="40"/>
              <w:jc w:val="left"/>
            </w:pPr>
            <w:r>
              <w:rPr>
                <w:b w:val="false"/>
                <w:bCs w:val="false"/>
                <w:sz w:val="17"/>
                <w:szCs w:val="17"/>
              </w:rPr>
              <w:t xml:space="preserve">Taux de conversion page tarifs</w:t>
            </w:r>
          </w:p>
        </w:tc>
      </w:tr>
      <w:tr>
        <w:tc>
          <w:tcPr>
            <w:tcW w:type="dxa" w:w="3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Contenu LinkedIn du fondateur (coulisses du métier, pas de la promotion produit)</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Moyen</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Faible</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Nul</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Continu</w:t>
            </w:r>
          </w:p>
        </w:tc>
        <w:tc>
          <w:tcPr>
            <w:tcW w:type="dxa" w:w="2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Trafic référent LinkedIn</w:t>
            </w:r>
          </w:p>
        </w:tc>
      </w:tr>
      <w:tr>
        <w:tc>
          <w:tcPr>
            <w:tcW w:type="dxa" w:w="3200"/>
            <w:tcMar>
              <w:top w:type="dxa" w:w="90"/>
              <w:left w:type="dxa" w:w="110"/>
              <w:bottom w:type="dxa" w:w="90"/>
              <w:right w:type="dxa" w:w="110"/>
            </w:tcMar>
            <w:vAlign w:val="center"/>
          </w:tcPr>
          <w:p>
            <w:pPr>
              <w:spacing w:after="40"/>
              <w:jc w:val="left"/>
            </w:pPr>
            <w:r>
              <w:rPr>
                <w:b w:val="false"/>
                <w:bCs w:val="false"/>
                <w:sz w:val="17"/>
                <w:szCs w:val="17"/>
              </w:rPr>
              <w:t xml:space="preserve">Séquence e-mail de reprise d’onboarding (§6, séquence 3)</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Fort</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Faible</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Nul</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1 sem.</w:t>
            </w:r>
          </w:p>
        </w:tc>
        <w:tc>
          <w:tcPr>
            <w:tcW w:type="dxa" w:w="2400"/>
            <w:tcMar>
              <w:top w:type="dxa" w:w="90"/>
              <w:left w:type="dxa" w:w="110"/>
              <w:bottom w:type="dxa" w:w="90"/>
              <w:right w:type="dxa" w:w="110"/>
            </w:tcMar>
            <w:vAlign w:val="center"/>
          </w:tcPr>
          <w:p>
            <w:pPr>
              <w:spacing w:after="40"/>
              <w:jc w:val="left"/>
            </w:pPr>
            <w:r>
              <w:rPr>
                <w:b w:val="false"/>
                <w:bCs w:val="false"/>
                <w:sz w:val="17"/>
                <w:szCs w:val="17"/>
              </w:rPr>
              <w:t xml:space="preserve">Taux de complétion onboarding</w:t>
            </w:r>
          </w:p>
        </w:tc>
      </w:tr>
      <w:tr>
        <w:tc>
          <w:tcPr>
            <w:tcW w:type="dxa" w:w="3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Retargeting des visiteurs page tarifs non convertis</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Moyen</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Moyenne</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Faible-moyen</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2 sem.</w:t>
            </w:r>
          </w:p>
        </w:tc>
        <w:tc>
          <w:tcPr>
            <w:tcW w:type="dxa" w:w="2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Taux de retour + conversion</w:t>
            </w:r>
          </w:p>
        </w:tc>
      </w:tr>
      <w:tr>
        <w:tc>
          <w:tcPr>
            <w:tcW w:type="dxa" w:w="3200"/>
            <w:tcMar>
              <w:top w:type="dxa" w:w="90"/>
              <w:left w:type="dxa" w:w="110"/>
              <w:bottom w:type="dxa" w:w="90"/>
              <w:right w:type="dxa" w:w="110"/>
            </w:tcMar>
            <w:vAlign w:val="center"/>
          </w:tcPr>
          <w:p>
            <w:pPr>
              <w:spacing w:after="40"/>
              <w:jc w:val="left"/>
            </w:pPr>
            <w:r>
              <w:rPr>
                <w:b w:val="false"/>
                <w:bCs w:val="false"/>
                <w:sz w:val="17"/>
                <w:szCs w:val="17"/>
              </w:rPr>
              <w:t xml:space="preserve">Intégration calendrier (Google Agenda) pour les rendez-vous confirmés</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Moyen</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Moyenne</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Faible</w:t>
            </w:r>
          </w:p>
        </w:tc>
        <w:tc>
          <w:tcPr>
            <w:tcW w:type="dxa" w:w="900"/>
            <w:tcMar>
              <w:top w:type="dxa" w:w="90"/>
              <w:left w:type="dxa" w:w="110"/>
              <w:bottom w:type="dxa" w:w="90"/>
              <w:right w:type="dxa" w:w="110"/>
            </w:tcMar>
            <w:vAlign w:val="center"/>
          </w:tcPr>
          <w:p>
            <w:pPr>
              <w:spacing w:after="40"/>
              <w:jc w:val="left"/>
            </w:pPr>
            <w:r>
              <w:rPr>
                <w:b w:val="false"/>
                <w:bCs w:val="false"/>
                <w:sz w:val="17"/>
                <w:szCs w:val="17"/>
              </w:rPr>
              <w:t xml:space="preserve">3 sem.</w:t>
            </w:r>
          </w:p>
        </w:tc>
        <w:tc>
          <w:tcPr>
            <w:tcW w:type="dxa" w:w="2400"/>
            <w:tcMar>
              <w:top w:type="dxa" w:w="90"/>
              <w:left w:type="dxa" w:w="110"/>
              <w:bottom w:type="dxa" w:w="90"/>
              <w:right w:type="dxa" w:w="110"/>
            </w:tcMar>
            <w:vAlign w:val="center"/>
          </w:tcPr>
          <w:p>
            <w:pPr>
              <w:spacing w:after="40"/>
              <w:jc w:val="left"/>
            </w:pPr>
            <w:r>
              <w:rPr>
                <w:b w:val="false"/>
                <w:bCs w:val="false"/>
                <w:sz w:val="17"/>
                <w:szCs w:val="17"/>
              </w:rPr>
              <w:t xml:space="preserve">Taux d’adoption de l’intégration</w:t>
            </w:r>
          </w:p>
        </w:tc>
      </w:tr>
      <w:tr>
        <w:tc>
          <w:tcPr>
            <w:tcW w:type="dxa" w:w="3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Partenariat avec des fournisseurs de produits de lavage (mention croisée)</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Faible-moyen</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Moyenne</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Nul-faible</w:t>
            </w:r>
          </w:p>
        </w:tc>
        <w:tc>
          <w:tcPr>
            <w:tcW w:type="dxa" w:w="9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4+ sem.</w:t>
            </w:r>
          </w:p>
        </w:tc>
        <w:tc>
          <w:tcPr>
            <w:tcW w:type="dxa" w:w="2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Trafic référent partenaire</w:t>
            </w:r>
          </w:p>
        </w:tc>
      </w:tr>
    </w:tbl>
    <w:p>
      <w:r>
        <w:br w:type="page"/>
      </w:r>
    </w:p>
    <w:p>
      <w:pPr>
        <w:pStyle w:val="Heading1"/>
      </w:pPr>
      <w:r>
        <w:t xml:space="preserve">8. Mesure et analytics</w:t>
      </w:r>
    </w:p>
    <w:p>
      <w:pPr>
        <w:spacing w:after="160"/>
      </w:pPr>
      <w:r>
        <w:t xml:space="preserve">Constat de départ, à traiter en priorité : aucun outil de mesure n’est installé aujourd’hui (ni GA4, ni Plausible, ni PostHog, ni autre) et aucun bandeau de cookies n’existe — cohérent, puisqu’à ce jour le site ne dépose aucun cookie de suivi.</w:t>
      </w:r>
    </w:p>
    <w:p>
      <w:pPr>
        <w:spacing w:after="160"/>
      </w:pPr>
      <w:r>
        <w:t xml:space="preserve">Recommandation P0 : un outil sans cookies (Plausible ou Umami) plutôt que Google Analytics — évite de rouvrir la question du consentement pour un simple besoin de mesure d’audience, et reste cohérent avec l’absence actuelle de bannière.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1800"/>
        <w:gridCol w:w="1000"/>
      </w:tblGrid>
      <w:tr>
        <w:trPr>
          <w:tblHeader/>
        </w:trPr>
        <w:tc>
          <w:tcPr>
            <w:tcW w:type="dxa" w:w="1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Étape</w:t>
            </w:r>
          </w:p>
        </w:tc>
        <w:tc>
          <w:tcPr>
            <w:tcW w:type="dxa" w:w="2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Événement</w:t>
            </w:r>
          </w:p>
        </w:tc>
        <w:tc>
          <w:tcPr>
            <w:tcW w:type="dxa" w:w="3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KPI / objectif</w:t>
            </w:r>
          </w:p>
        </w:tc>
        <w:tc>
          <w:tcPr>
            <w:tcW w:type="dxa" w:w="1800"/>
            <w:shd w:fill="111418" w:val="clear"/>
            <w:tcMar>
              <w:top w:type="dxa" w:w="90"/>
              <w:left w:type="dxa" w:w="110"/>
              <w:bottom w:type="dxa" w:w="90"/>
              <w:right w:type="dxa" w:w="110"/>
            </w:tcMar>
            <w:vAlign w:val="center"/>
          </w:tcPr>
          <w:p>
            <w:pPr>
              <w:spacing w:after="40"/>
              <w:jc w:val="left"/>
            </w:pPr>
            <w:r>
              <w:rPr>
                <w:b/>
                <w:bCs/>
                <w:color w:val="FFFFFF"/>
                <w:sz w:val="17"/>
                <w:szCs w:val="17"/>
              </w:rPr>
              <w:t xml:space="preserve">Outil</w:t>
            </w:r>
          </w:p>
        </w:tc>
        <w:tc>
          <w:tcPr>
            <w:tcW w:type="dxa" w:w="1000"/>
            <w:shd w:fill="111418" w:val="clear"/>
            <w:tcMar>
              <w:top w:type="dxa" w:w="90"/>
              <w:left w:type="dxa" w:w="110"/>
              <w:bottom w:type="dxa" w:w="90"/>
              <w:right w:type="dxa" w:w="110"/>
            </w:tcMar>
            <w:vAlign w:val="center"/>
          </w:tcPr>
          <w:p>
            <w:pPr>
              <w:spacing w:after="40"/>
              <w:jc w:val="left"/>
            </w:pPr>
            <w:r>
              <w:rPr>
                <w:b/>
                <w:bCs/>
                <w:color w:val="FFFFFF"/>
                <w:sz w:val="17"/>
                <w:szCs w:val="17"/>
              </w:rPr>
              <w:t xml:space="preserve">Seuil d’alerte</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1. Découverte</w:t>
            </w:r>
          </w:p>
        </w:tc>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Visite de page</w:t>
            </w:r>
          </w:p>
        </w:tc>
        <w:tc>
          <w:tcPr>
            <w:tcW w:type="dxa" w:w="3400"/>
            <w:tcMar>
              <w:top w:type="dxa" w:w="90"/>
              <w:left w:type="dxa" w:w="110"/>
              <w:bottom w:type="dxa" w:w="90"/>
              <w:right w:type="dxa" w:w="110"/>
            </w:tcMar>
            <w:vAlign w:val="center"/>
          </w:tcPr>
          <w:p>
            <w:pPr>
              <w:spacing w:after="40"/>
              <w:jc w:val="left"/>
            </w:pPr>
            <w:r>
              <w:rPr>
                <w:b w:val="false"/>
                <w:bCs w:val="false"/>
                <w:sz w:val="17"/>
                <w:szCs w:val="17"/>
              </w:rPr>
              <w:t xml:space="preserve">Sessions, pages/session — objectif Comprendre les points d’entrée</w:t>
            </w:r>
          </w:p>
        </w:tc>
        <w:tc>
          <w:tcPr>
            <w:tcW w:type="dxa" w:w="1800"/>
            <w:tcMar>
              <w:top w:type="dxa" w:w="90"/>
              <w:left w:type="dxa" w:w="110"/>
              <w:bottom w:type="dxa" w:w="90"/>
              <w:right w:type="dxa" w:w="110"/>
            </w:tcMar>
            <w:vAlign w:val="center"/>
          </w:tcPr>
          <w:p>
            <w:pPr>
              <w:spacing w:after="40"/>
              <w:jc w:val="left"/>
            </w:pPr>
            <w:r>
              <w:rPr>
                <w:b w:val="false"/>
                <w:bCs w:val="false"/>
                <w:sz w:val="17"/>
                <w:szCs w:val="17"/>
              </w:rPr>
              <w:t xml:space="preserve">Outil de mesure</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w:t>
            </w:r>
          </w:p>
        </w:tc>
      </w:tr>
      <w:tr>
        <w:tc>
          <w:tcPr>
            <w:tcW w:type="dxa" w:w="1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2. Intérêt</w:t>
            </w:r>
          </w:p>
        </w:tc>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Clic CTA principal</w:t>
            </w:r>
          </w:p>
        </w:tc>
        <w:tc>
          <w:tcPr>
            <w:tcW w:type="dxa" w:w="3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Taux de clic hero — objectif &gt; 8% des visiteurs</w:t>
            </w:r>
          </w:p>
        </w:tc>
        <w:tc>
          <w:tcPr>
            <w:tcW w:type="dxa" w:w="18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Outil de mesure</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&lt; 4%</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3. Qualification</w:t>
            </w:r>
          </w:p>
        </w:tc>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Formulaire commencé</w:t>
            </w:r>
          </w:p>
        </w:tc>
        <w:tc>
          <w:tcPr>
            <w:tcW w:type="dxa" w:w="3400"/>
            <w:tcMar>
              <w:top w:type="dxa" w:w="90"/>
              <w:left w:type="dxa" w:w="110"/>
              <w:bottom w:type="dxa" w:w="90"/>
              <w:right w:type="dxa" w:w="110"/>
            </w:tcMar>
            <w:vAlign w:val="center"/>
          </w:tcPr>
          <w:p>
            <w:pPr>
              <w:spacing w:after="40"/>
              <w:jc w:val="left"/>
            </w:pPr>
            <w:r>
              <w:rPr>
                <w:b w:val="false"/>
                <w:bCs w:val="false"/>
                <w:sz w:val="17"/>
                <w:szCs w:val="17"/>
              </w:rPr>
              <w:t xml:space="preserve">Taux de démarrage — objectif &gt; 50% des clics CTA</w:t>
            </w:r>
          </w:p>
        </w:tc>
        <w:tc>
          <w:tcPr>
            <w:tcW w:type="dxa" w:w="1800"/>
            <w:tcMar>
              <w:top w:type="dxa" w:w="90"/>
              <w:left w:type="dxa" w:w="110"/>
              <w:bottom w:type="dxa" w:w="90"/>
              <w:right w:type="dxa" w:w="110"/>
            </w:tcMar>
            <w:vAlign w:val="center"/>
          </w:tcPr>
          <w:p>
            <w:pPr>
              <w:spacing w:after="40"/>
              <w:jc w:val="left"/>
            </w:pPr>
            <w:r>
              <w:rPr>
                <w:b w:val="false"/>
                <w:bCs w:val="false"/>
                <w:sz w:val="17"/>
                <w:szCs w:val="17"/>
              </w:rPr>
              <w:t xml:space="preserve">Outil de mesure + formulaire</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&lt; 25%</w:t>
            </w:r>
          </w:p>
        </w:tc>
      </w:tr>
      <w:tr>
        <w:tc>
          <w:tcPr>
            <w:tcW w:type="dxa" w:w="1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3. Qualification</w:t>
            </w:r>
          </w:p>
        </w:tc>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Formulaire terminé</w:t>
            </w:r>
          </w:p>
        </w:tc>
        <w:tc>
          <w:tcPr>
            <w:tcW w:type="dxa" w:w="3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Taux de complétion — objectif &gt; 70% des formulaires démarrés</w:t>
            </w:r>
          </w:p>
        </w:tc>
        <w:tc>
          <w:tcPr>
            <w:tcW w:type="dxa" w:w="18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Formulaire</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&lt; 40%</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4. Compte</w:t>
            </w:r>
          </w:p>
        </w:tc>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Création de compte</w:t>
            </w:r>
          </w:p>
        </w:tc>
        <w:tc>
          <w:tcPr>
            <w:tcW w:type="dxa" w:w="3400"/>
            <w:tcMar>
              <w:top w:type="dxa" w:w="90"/>
              <w:left w:type="dxa" w:w="110"/>
              <w:bottom w:type="dxa" w:w="90"/>
              <w:right w:type="dxa" w:w="110"/>
            </w:tcMar>
            <w:vAlign w:val="center"/>
          </w:tcPr>
          <w:p>
            <w:pPr>
              <w:spacing w:after="40"/>
              <w:jc w:val="left"/>
            </w:pPr>
            <w:r>
              <w:rPr>
                <w:b w:val="false"/>
                <w:bCs w:val="false"/>
                <w:sz w:val="17"/>
                <w:szCs w:val="17"/>
              </w:rPr>
              <w:t xml:space="preserve">Taux qualification → compte — objectif &gt; 60%</w:t>
            </w:r>
          </w:p>
        </w:tc>
        <w:tc>
          <w:tcPr>
            <w:tcW w:type="dxa" w:w="1800"/>
            <w:tcMar>
              <w:top w:type="dxa" w:w="90"/>
              <w:left w:type="dxa" w:w="110"/>
              <w:bottom w:type="dxa" w:w="90"/>
              <w:right w:type="dxa" w:w="110"/>
            </w:tcMar>
            <w:vAlign w:val="center"/>
          </w:tcPr>
          <w:p>
            <w:pPr>
              <w:spacing w:after="40"/>
              <w:jc w:val="left"/>
            </w:pPr>
            <w:r>
              <w:rPr>
                <w:b w:val="false"/>
                <w:bCs w:val="false"/>
                <w:sz w:val="17"/>
                <w:szCs w:val="17"/>
              </w:rPr>
              <w:t xml:space="preserve">Backend / base de données</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&lt; 30%</w:t>
            </w:r>
          </w:p>
        </w:tc>
      </w:tr>
      <w:tr>
        <w:tc>
          <w:tcPr>
            <w:tcW w:type="dxa" w:w="1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5. Onboarding</w:t>
            </w:r>
          </w:p>
        </w:tc>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Onboarding commencé</w:t>
            </w:r>
          </w:p>
        </w:tc>
        <w:tc>
          <w:tcPr>
            <w:tcW w:type="dxa" w:w="3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Taux compte → onboarding — objectif &gt; 80%</w:t>
            </w:r>
          </w:p>
        </w:tc>
        <w:tc>
          <w:tcPr>
            <w:tcW w:type="dxa" w:w="18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Backend</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&lt; 50%</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5. Onboarding</w:t>
            </w:r>
          </w:p>
        </w:tc>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Onboarding terminé</w:t>
            </w:r>
          </w:p>
        </w:tc>
        <w:tc>
          <w:tcPr>
            <w:tcW w:type="dxa" w:w="3400"/>
            <w:tcMar>
              <w:top w:type="dxa" w:w="90"/>
              <w:left w:type="dxa" w:w="110"/>
              <w:bottom w:type="dxa" w:w="90"/>
              <w:right w:type="dxa" w:w="110"/>
            </w:tcMar>
            <w:vAlign w:val="center"/>
          </w:tcPr>
          <w:p>
            <w:pPr>
              <w:spacing w:after="40"/>
              <w:jc w:val="left"/>
            </w:pPr>
            <w:r>
              <w:rPr>
                <w:b w:val="false"/>
                <w:bCs w:val="false"/>
                <w:sz w:val="17"/>
                <w:szCs w:val="17"/>
              </w:rPr>
              <w:t xml:space="preserve">Taux de complétion onboarding — objectif &gt; 60%</w:t>
            </w:r>
          </w:p>
        </w:tc>
        <w:tc>
          <w:tcPr>
            <w:tcW w:type="dxa" w:w="1800"/>
            <w:tcMar>
              <w:top w:type="dxa" w:w="90"/>
              <w:left w:type="dxa" w:w="110"/>
              <w:bottom w:type="dxa" w:w="90"/>
              <w:right w:type="dxa" w:w="110"/>
            </w:tcMar>
            <w:vAlign w:val="center"/>
          </w:tcPr>
          <w:p>
            <w:pPr>
              <w:spacing w:after="40"/>
              <w:jc w:val="left"/>
            </w:pPr>
            <w:r>
              <w:rPr>
                <w:b w:val="false"/>
                <w:bCs w:val="false"/>
                <w:sz w:val="17"/>
                <w:szCs w:val="17"/>
              </w:rPr>
              <w:t xml:space="preserve">Backend</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&lt; 30%</w:t>
            </w:r>
          </w:p>
        </w:tc>
      </w:tr>
      <w:tr>
        <w:tc>
          <w:tcPr>
            <w:tcW w:type="dxa" w:w="1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6. Résultat</w:t>
            </w:r>
          </w:p>
        </w:tc>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Premier résultat consulté</w:t>
            </w:r>
          </w:p>
        </w:tc>
        <w:tc>
          <w:tcPr>
            <w:tcW w:type="dxa" w:w="3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Taux d’ouverture du rapport — objectif &gt; 70% des onboardings terminés</w:t>
            </w:r>
          </w:p>
        </w:tc>
        <w:tc>
          <w:tcPr>
            <w:tcW w:type="dxa" w:w="18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Backend + e-mail</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&lt; 40%</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7. Conversion</w:t>
            </w:r>
          </w:p>
        </w:tc>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Abonnement démarré (essai)</w:t>
            </w:r>
          </w:p>
        </w:tc>
        <w:tc>
          <w:tcPr>
            <w:tcW w:type="dxa" w:w="3400"/>
            <w:tcMar>
              <w:top w:type="dxa" w:w="90"/>
              <w:left w:type="dxa" w:w="110"/>
              <w:bottom w:type="dxa" w:w="90"/>
              <w:right w:type="dxa" w:w="110"/>
            </w:tcMar>
            <w:vAlign w:val="center"/>
          </w:tcPr>
          <w:p>
            <w:pPr>
              <w:spacing w:after="40"/>
              <w:jc w:val="left"/>
            </w:pPr>
            <w:r>
              <w:rPr>
                <w:b w:val="false"/>
                <w:bCs w:val="false"/>
                <w:sz w:val="17"/>
                <w:szCs w:val="17"/>
              </w:rPr>
              <w:t xml:space="preserve">Taux résultat → essai — objectif &gt; 20%</w:t>
            </w:r>
          </w:p>
        </w:tc>
        <w:tc>
          <w:tcPr>
            <w:tcW w:type="dxa" w:w="1800"/>
            <w:tcMar>
              <w:top w:type="dxa" w:w="90"/>
              <w:left w:type="dxa" w:w="110"/>
              <w:bottom w:type="dxa" w:w="90"/>
              <w:right w:type="dxa" w:w="110"/>
            </w:tcMar>
            <w:vAlign w:val="center"/>
          </w:tcPr>
          <w:p>
            <w:pPr>
              <w:spacing w:after="40"/>
              <w:jc w:val="left"/>
            </w:pPr>
            <w:r>
              <w:rPr>
                <w:b w:val="false"/>
                <w:bCs w:val="false"/>
                <w:sz w:val="17"/>
                <w:szCs w:val="17"/>
              </w:rPr>
              <w:t xml:space="preserve">Backend</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&lt; 8%</w:t>
            </w:r>
          </w:p>
        </w:tc>
      </w:tr>
      <w:tr>
        <w:tc>
          <w:tcPr>
            <w:tcW w:type="dxa" w:w="1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7. Conversion</w:t>
            </w:r>
          </w:p>
        </w:tc>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Abonnement payé</w:t>
            </w:r>
          </w:p>
        </w:tc>
        <w:tc>
          <w:tcPr>
            <w:tcW w:type="dxa" w:w="3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Taux essai → payant — objectif &gt; 25%</w:t>
            </w:r>
          </w:p>
        </w:tc>
        <w:tc>
          <w:tcPr>
            <w:tcW w:type="dxa" w:w="18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Stripe</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&lt; 10%</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8. Rétention</w:t>
            </w:r>
          </w:p>
        </w:tc>
        <w:tc>
          <w:tcPr>
            <w:tcW w:type="dxa" w:w="2200"/>
            <w:tcMar>
              <w:top w:type="dxa" w:w="90"/>
              <w:left w:type="dxa" w:w="110"/>
              <w:bottom w:type="dxa" w:w="90"/>
              <w:right w:type="dxa" w:w="110"/>
            </w:tcMar>
            <w:vAlign w:val="center"/>
          </w:tcPr>
          <w:p>
            <w:pPr>
              <w:spacing w:after="40"/>
              <w:jc w:val="left"/>
            </w:pPr>
            <w:r>
              <w:rPr>
                <w:b w:val="false"/>
                <w:bCs w:val="false"/>
                <w:sz w:val="17"/>
                <w:szCs w:val="17"/>
              </w:rPr>
              <w:t xml:space="preserve">Désabonnement</w:t>
            </w:r>
          </w:p>
        </w:tc>
        <w:tc>
          <w:tcPr>
            <w:tcW w:type="dxa" w:w="3400"/>
            <w:tcMar>
              <w:top w:type="dxa" w:w="90"/>
              <w:left w:type="dxa" w:w="110"/>
              <w:bottom w:type="dxa" w:w="90"/>
              <w:right w:type="dxa" w:w="110"/>
            </w:tcMar>
            <w:vAlign w:val="center"/>
          </w:tcPr>
          <w:p>
            <w:pPr>
              <w:spacing w:after="40"/>
              <w:jc w:val="left"/>
            </w:pPr>
            <w:r>
              <w:rPr>
                <w:b w:val="false"/>
                <w:bCs w:val="false"/>
                <w:sz w:val="17"/>
                <w:szCs w:val="17"/>
              </w:rPr>
              <w:t xml:space="preserve">Churn mensuel — objectif &lt; 5%/mois</w:t>
            </w:r>
          </w:p>
        </w:tc>
        <w:tc>
          <w:tcPr>
            <w:tcW w:type="dxa" w:w="1800"/>
            <w:tcMar>
              <w:top w:type="dxa" w:w="90"/>
              <w:left w:type="dxa" w:w="110"/>
              <w:bottom w:type="dxa" w:w="90"/>
              <w:right w:type="dxa" w:w="110"/>
            </w:tcMar>
            <w:vAlign w:val="center"/>
          </w:tcPr>
          <w:p>
            <w:pPr>
              <w:spacing w:after="40"/>
              <w:jc w:val="left"/>
            </w:pPr>
            <w:r>
              <w:rPr>
                <w:b w:val="false"/>
                <w:bCs w:val="false"/>
                <w:sz w:val="17"/>
                <w:szCs w:val="17"/>
              </w:rPr>
              <w:t xml:space="preserve">Stripe</w:t>
            </w:r>
          </w:p>
        </w:tc>
        <w:tc>
          <w:tcPr>
            <w:tcW w:type="dxa" w:w="1000"/>
            <w:tcMar>
              <w:top w:type="dxa" w:w="90"/>
              <w:left w:type="dxa" w:w="110"/>
              <w:bottom w:type="dxa" w:w="90"/>
              <w:right w:type="dxa" w:w="110"/>
            </w:tcMar>
            <w:vAlign w:val="center"/>
          </w:tcPr>
          <w:p>
            <w:pPr>
              <w:spacing w:after="40"/>
              <w:jc w:val="left"/>
            </w:pPr>
            <w:r>
              <w:rPr>
                <w:b w:val="false"/>
                <w:bCs w:val="false"/>
                <w:sz w:val="17"/>
                <w:szCs w:val="17"/>
              </w:rPr>
              <w:t xml:space="preserve">&gt; 10%/mois</w:t>
            </w:r>
          </w:p>
        </w:tc>
      </w:tr>
      <w:tr>
        <w:tc>
          <w:tcPr>
            <w:tcW w:type="dxa" w:w="1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9. Recommandation</w:t>
            </w:r>
          </w:p>
        </w:tc>
        <w:tc>
          <w:tcPr>
            <w:tcW w:type="dxa" w:w="2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Invitation envoyée</w:t>
            </w:r>
          </w:p>
        </w:tc>
        <w:tc>
          <w:tcPr>
            <w:tcW w:type="dxa" w:w="3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Taux d’utilisateurs actifs qui invitent — objectif &gt; 10%</w:t>
            </w:r>
          </w:p>
        </w:tc>
        <w:tc>
          <w:tcPr>
            <w:tcW w:type="dxa" w:w="18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Backend (à construire)</w:t>
            </w:r>
          </w:p>
        </w:tc>
        <w:tc>
          <w:tcPr>
            <w:tcW w:type="dxa" w:w="1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w:t>
            </w:r>
          </w:p>
        </w:tc>
      </w:tr>
    </w:tbl>
    <w:p>
      <w:pPr>
        <w:pStyle w:val="Heading2"/>
      </w:pPr>
      <w:r>
        <w:t xml:space="preserve">Formules</w:t>
      </w:r>
    </w:p>
    <w:p>
      <w:pPr>
        <w:pStyle w:val="ListParagraph"/>
        <w:numPr>
          <w:ilvl w:val="0"/>
          <w:numId w:val="2"/>
        </w:numPr>
        <w:spacing w:after="80"/>
      </w:pPr>
      <w:r>
        <w:t xml:space="preserve">Taux de conversion visiteur → client = (clients payants ÷ visiteurs uniques) × 100.</w:t>
      </w:r>
    </w:p>
    <w:p>
      <w:pPr>
        <w:pStyle w:val="ListParagraph"/>
        <w:numPr>
          <w:ilvl w:val="0"/>
          <w:numId w:val="2"/>
        </w:numPr>
        <w:spacing w:after="80"/>
      </w:pPr>
      <w:r>
        <w:t xml:space="preserve">Coût d’acquisition (CAC) = dépenses d’acquisition sur la période ÷ nouveaux clients payants sur la période. Aujourd’hui : 0 €, aucune dépense publicitaire engagée — à calculer dès qu’un canal payant démarre.</w:t>
      </w:r>
    </w:p>
    <w:p>
      <w:pPr>
        <w:pStyle w:val="ListParagraph"/>
        <w:numPr>
          <w:ilvl w:val="0"/>
          <w:numId w:val="2"/>
        </w:numPr>
        <w:spacing w:after="80"/>
      </w:pPr>
      <w:r>
        <w:t xml:space="preserve">Activation = part des comptes créés qui terminent l’onboarding ET consultent leur premier résultat.</w:t>
      </w:r>
    </w:p>
    <w:p>
      <w:pPr>
        <w:pStyle w:val="ListParagraph"/>
        <w:numPr>
          <w:ilvl w:val="0"/>
          <w:numId w:val="2"/>
        </w:numPr>
        <w:spacing w:after="80"/>
      </w:pPr>
      <w:r>
        <w:t xml:space="preserve">Rétention à 30/60/90 jours = part des clients payants toujours abonnés à ces échéances depuis leur premier paiement.</w:t>
      </w:r>
    </w:p>
    <w:p>
      <w:pPr>
        <w:pStyle w:val="ListParagraph"/>
        <w:numPr>
          <w:ilvl w:val="0"/>
          <w:numId w:val="2"/>
        </w:numPr>
        <w:spacing w:after="80"/>
      </w:pPr>
      <w:r>
        <w:t xml:space="preserve">Churn mensuel = clients perdus dans le mois ÷ clients actifs en début de mois.</w:t>
      </w:r>
    </w:p>
    <w:p>
      <w:pPr>
        <w:pStyle w:val="ListParagraph"/>
        <w:numPr>
          <w:ilvl w:val="0"/>
          <w:numId w:val="2"/>
        </w:numPr>
        <w:spacing w:after="80"/>
      </w:pPr>
      <w:r>
        <w:t xml:space="preserve">Revenu moyen par client (ARPU) = revenu mensuel récurrent total ÷ nombre de clients payants actifs. Avec les 3 offres réelles (17/49/59 €), un mix théorique 100% Pack complet donnerait 59 € ; un mix réel dépendra de la répartition constatée.</w:t>
      </w:r>
    </w:p>
    <w:p>
      <w:pPr>
        <w:pStyle w:val="ListParagraph"/>
        <w:numPr>
          <w:ilvl w:val="0"/>
          <w:numId w:val="2"/>
        </w:numPr>
        <w:spacing w:after="80"/>
      </w:pPr>
      <w:r>
        <w:t xml:space="preserve">Valeur vie client (LTV) = ARPU × durée de vie moyenne en mois (1 ÷ churn mensuel). Non calculable avant d’avoir un churn réel mesuré.</w:t>
      </w:r>
    </w:p>
    <w:p>
      <w:r>
        <w:br w:type="page"/>
      </w:r>
    </w:p>
    <w:p>
      <w:pPr>
        <w:pStyle w:val="Heading1"/>
      </w:pPr>
      <w:r>
        <w:t xml:space="preserve">9. SEO et GEO</w:t>
      </w:r>
    </w:p>
    <w:p>
      <w:pPr>
        <w:spacing w:after="160"/>
      </w:pPr>
      <w:r>
        <w:t xml:space="preserve">Le travail SEO/GEO déjà réalisé sur ce projet est étendu — ce paragraphe le résume pour éviter toute redondance, conformément à la consigne de ne rien détruire ni refaire sans raison.</w:t>
      </w:r>
    </w:p>
    <w:p>
      <w:pPr>
        <w:pStyle w:val="Heading2"/>
      </w:pPr>
      <w:r>
        <w:t xml:space="preserve">Déjà en place</w:t>
      </w:r>
    </w:p>
    <w:p>
      <w:pPr>
        <w:pStyle w:val="ListParagraph"/>
        <w:numPr>
          <w:ilvl w:val="0"/>
          <w:numId w:val="2"/>
        </w:numPr>
        <w:spacing w:after="80"/>
      </w:pPr>
      <w:r>
        <w:t xml:space="preserve">Titres et méta-descriptions exacts par page, y compris les pages produit dédiées (logiciel pour laveur auto, logiciel pour detailing automobile).</w:t>
      </w:r>
    </w:p>
    <w:p>
      <w:pPr>
        <w:pStyle w:val="ListParagraph"/>
        <w:numPr>
          <w:ilvl w:val="0"/>
          <w:numId w:val="2"/>
        </w:numPr>
        <w:spacing w:after="80"/>
      </w:pPr>
      <w:r>
        <w:t xml:space="preserve">Un seul H1 par page, hiérarchie H2/H3 respectée.</w:t>
      </w:r>
    </w:p>
    <w:p>
      <w:pPr>
        <w:pStyle w:val="ListParagraph"/>
        <w:numPr>
          <w:ilvl w:val="0"/>
          <w:numId w:val="2"/>
        </w:numPr>
        <w:spacing w:after="80"/>
      </w:pPr>
      <w:r>
        <w:t xml:space="preserve">Données structurées JSON-LD (SoftwareApplication avec les 3 offres réelles, Organization, FAQPage, BreadcrumbList, WebPage).</w:t>
      </w:r>
    </w:p>
    <w:p>
      <w:pPr>
        <w:pStyle w:val="ListParagraph"/>
        <w:numPr>
          <w:ilvl w:val="0"/>
          <w:numId w:val="2"/>
        </w:numPr>
        <w:spacing w:after="80"/>
      </w:pPr>
      <w:r>
        <w:t xml:space="preserve">Contenu GEO dédié (réponses formatées pour les moteurs de réponse génératifs), robots.txt avec autorisations explicites pour les robots IA (OAI-SearchBot, PerplexityBot, Google-Extended), sitemap à jour.</w:t>
      </w:r>
    </w:p>
    <w:p>
      <w:pPr>
        <w:pStyle w:val="ListParagraph"/>
        <w:numPr>
          <w:ilvl w:val="0"/>
          <w:numId w:val="2"/>
        </w:numPr>
        <w:spacing w:after="80"/>
      </w:pPr>
      <w:r>
        <w:t xml:space="preserve">Redirections 301 posées sur les anciennes URLs.</w:t>
      </w:r>
    </w:p>
    <w:p>
      <w:pPr>
        <w:pStyle w:val="ListParagraph"/>
        <w:numPr>
          <w:ilvl w:val="0"/>
          <w:numId w:val="2"/>
        </w:numPr>
        <w:spacing w:after="80"/>
      </w:pPr>
      <w:r>
        <w:t xml:space="preserve">9 articles de blog déjà publiés, orientés sur les vraies questions du métier plutôt que sur du contenu générique.</w:t>
      </w:r>
    </w:p>
    <w:p>
      <w:pPr>
        <w:pStyle w:val="Heading2"/>
      </w:pPr>
      <w:r>
        <w:t xml:space="preserve">Améliorations proposées (n’enlèvent rien à l’existant)</w:t>
      </w:r>
    </w:p>
    <w:p>
      <w:pPr>
        <w:pStyle w:val="ListParagraph"/>
        <w:numPr>
          <w:ilvl w:val="0"/>
          <w:numId w:val="2"/>
        </w:numPr>
        <w:spacing w:after="80"/>
      </w:pPr>
      <w:r>
        <w:t xml:space="preserve">Maillage interne : lier chaque article de blog pertinent vers la page produit ou tarifs correspondante, et inversement — aujourd’hui la profondeur de ce maillage n’a pas été auditée dans le détail.</w:t>
      </w:r>
    </w:p>
    <w:p>
      <w:pPr>
        <w:pStyle w:val="ListParagraph"/>
        <w:numPr>
          <w:ilvl w:val="0"/>
          <w:numId w:val="2"/>
        </w:numPr>
        <w:spacing w:after="80"/>
      </w:pPr>
      <w:r>
        <w:t xml:space="preserve">Étendre les pages dédiées par intention de recherche précise (voir §3), sans dupliquer le contenu des deux pages produit existantes.</w:t>
      </w:r>
    </w:p>
    <w:p>
      <w:pPr>
        <w:pStyle w:val="ListParagraph"/>
        <w:numPr>
          <w:ilvl w:val="0"/>
          <w:numId w:val="2"/>
        </w:numPr>
        <w:spacing w:after="80"/>
      </w:pPr>
      <w:r>
        <w:t xml:space="preserve">Élargir le contenu FAQ/GEO avec les nouvelles objections identifiées en §1 (prix, image de la prospection automatisée), une fois validées.</w:t>
      </w:r>
    </w:p>
    <w:p>
      <w:r>
        <w:br w:type="page"/>
      </w:r>
    </w:p>
    <w:p>
      <w:pPr>
        <w:pStyle w:val="Heading1"/>
      </w:pPr>
      <w:r>
        <w:t xml:space="preserve">10. Livrable final</w:t>
      </w:r>
    </w:p>
    <w:p>
      <w:pPr>
        <w:pStyle w:val="Heading2"/>
      </w:pPr>
      <w:r>
        <w:t xml:space="preserve">Problèmes prioritaires</w:t>
      </w:r>
    </w:p>
    <w:p>
      <w:pPr>
        <w:spacing w:after="120"/>
      </w:pPr>
      <w:r>
        <w:rPr>
          <w:b/>
          <w:bCs/>
          <w:color w:val="C0392B"/>
        </w:rPr>
        <w:t xml:space="preserve">P0  </w:t>
      </w:r>
      <w:r>
        <w:t xml:space="preserve">Aucun parcours d’inscription en libre-service — le seul chemin actuel après le hero est « découvrir les tarifs », pas « créer un compte ». Bloque tout le reste du tunnel.</w:t>
      </w:r>
    </w:p>
    <w:p>
      <w:pPr>
        <w:spacing w:after="120"/>
      </w:pPr>
      <w:r>
        <w:rPr>
          <w:b/>
          <w:bCs/>
          <w:color w:val="C0392B"/>
        </w:rPr>
        <w:t xml:space="preserve">P0  </w:t>
      </w:r>
      <w:r>
        <w:t xml:space="preserve">Aucun onboarding, donc aucun premier résultat livré automatiquement — la promesse « zone gratuite » déjà écrite dans les tarifs n’est pas encore une expérience produit réelle.</w:t>
      </w:r>
    </w:p>
    <w:p>
      <w:pPr>
        <w:spacing w:after="120"/>
      </w:pPr>
      <w:r>
        <w:rPr>
          <w:b/>
          <w:bCs/>
          <w:color w:val="C0392B"/>
        </w:rPr>
        <w:t xml:space="preserve">P0  </w:t>
      </w:r>
      <w:r>
        <w:t xml:space="preserve">Aucune séquence e-mail de cycle de vie — seuls deux gabarits existent (accusé de réception, notification interne), pas de bienvenue, relance ou activation.</w:t>
      </w:r>
    </w:p>
    <w:p>
      <w:pPr>
        <w:spacing w:after="120"/>
      </w:pPr>
      <w:r>
        <w:rPr>
          <w:b/>
          <w:bCs/>
          <w:color w:val="C0392B"/>
        </w:rPr>
        <w:t xml:space="preserve">P0  </w:t>
      </w:r>
      <w:r>
        <w:t xml:space="preserve">Aucun outil de mesure installé — impossible de savoir aujourd’hui où les visiteurs abandonnent.</w:t>
      </w:r>
    </w:p>
    <w:p>
      <w:pPr>
        <w:spacing w:after="120"/>
      </w:pPr>
      <w:r>
        <w:rPr>
          <w:b/>
          <w:bCs/>
          <w:color w:val="B7791F"/>
        </w:rPr>
        <w:t xml:space="preserve">P1  </w:t>
      </w:r>
      <w:r>
        <w:t xml:space="preserve">Pas de preuve sociale réelle — attendu tant qu’aucun faux témoignage n’est publié, mais à activer dès les premiers clients.</w:t>
      </w:r>
    </w:p>
    <w:p>
      <w:pPr>
        <w:spacing w:after="120"/>
      </w:pPr>
      <w:r>
        <w:rPr>
          <w:b/>
          <w:bCs/>
          <w:color w:val="B7791F"/>
        </w:rPr>
        <w:t xml:space="preserve">P1  </w:t>
      </w:r>
      <w:r>
        <w:t xml:space="preserve">Couverture SEO par intention de recherche encore partielle (2 pages produit sur un potentiel plus large).</w:t>
      </w:r>
    </w:p>
    <w:p>
      <w:pPr>
        <w:spacing w:after="120"/>
      </w:pPr>
      <w:r>
        <w:rPr>
          <w:b/>
          <w:bCs/>
          <w:color w:val="2F6F4E"/>
        </w:rPr>
        <w:t xml:space="preserve">P2  </w:t>
      </w:r>
      <w:r>
        <w:t xml:space="preserve">Pas de programme de recommandation entre laveurs.</w:t>
      </w:r>
    </w:p>
    <w:p>
      <w:pPr>
        <w:spacing w:after="120"/>
      </w:pPr>
      <w:r>
        <w:rPr>
          <w:b/>
          <w:bCs/>
          <w:color w:val="2F6F4E"/>
        </w:rPr>
        <w:t xml:space="preserve">P2  </w:t>
      </w:r>
      <w:r>
        <w:t xml:space="preserve">Pas d’intégration calendrier externe (Google Agenda).</w:t>
      </w:r>
    </w:p>
    <w:p>
      <w:pPr>
        <w:pStyle w:val="Heading2"/>
      </w:pPr>
      <w:r>
        <w:t xml:space="preserve">Plan d’action — 30 jours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7000"/>
      </w:tblGrid>
      <w:tr>
        <w:trPr>
          <w:tblHeader/>
        </w:trPr>
        <w:tc>
          <w:tcPr>
            <w:tcW w:type="dxa" w:w="1400"/>
            <w:shd w:fill="111418" w:val="clear"/>
            <w:tcMar>
              <w:top w:type="dxa" w:w="90"/>
              <w:left w:type="dxa" w:w="110"/>
              <w:bottom w:type="dxa" w:w="90"/>
              <w:right w:type="dxa" w:w="110"/>
            </w:tcMar>
            <w:vAlign w:val="center"/>
          </w:tcPr>
          <w:p>
            <w:pPr>
              <w:spacing w:after="40"/>
              <w:jc w:val="left"/>
            </w:pPr>
            <w:r>
              <w:rPr>
                <w:b/>
                <w:bCs/>
                <w:color w:val="FFFFFF"/>
                <w:sz w:val="17"/>
                <w:szCs w:val="17"/>
              </w:rPr>
              <w:t xml:space="preserve">Semaine</w:t>
            </w:r>
          </w:p>
        </w:tc>
        <w:tc>
          <w:tcPr>
            <w:tcW w:type="dxa" w:w="1200"/>
            <w:shd w:fill="111418" w:val="clear"/>
            <w:tcMar>
              <w:top w:type="dxa" w:w="90"/>
              <w:left w:type="dxa" w:w="110"/>
              <w:bottom w:type="dxa" w:w="90"/>
              <w:right w:type="dxa" w:w="110"/>
            </w:tcMar>
            <w:vAlign w:val="center"/>
          </w:tcPr>
          <w:p>
            <w:pPr>
              <w:spacing w:after="40"/>
              <w:jc w:val="left"/>
            </w:pPr>
            <w:r>
              <w:rPr>
                <w:b/>
                <w:bCs/>
                <w:color w:val="FFFFFF"/>
                <w:sz w:val="17"/>
                <w:szCs w:val="17"/>
              </w:rPr>
              <w:t xml:space="preserve">Priorité</w:t>
            </w:r>
          </w:p>
        </w:tc>
        <w:tc>
          <w:tcPr>
            <w:tcW w:type="dxa" w:w="7000"/>
            <w:shd w:fill="111418" w:val="clear"/>
            <w:tcMar>
              <w:top w:type="dxa" w:w="90"/>
              <w:left w:type="dxa" w:w="110"/>
              <w:bottom w:type="dxa" w:w="90"/>
              <w:right w:type="dxa" w:w="110"/>
            </w:tcMar>
            <w:vAlign w:val="center"/>
          </w:tcPr>
          <w:p>
            <w:pPr>
              <w:spacing w:after="40"/>
              <w:jc w:val="left"/>
            </w:pPr>
            <w:r>
              <w:rPr>
                <w:b/>
                <w:bCs/>
                <w:color w:val="FFFFFF"/>
                <w:sz w:val="17"/>
                <w:szCs w:val="17"/>
              </w:rPr>
              <w:t xml:space="preserve">Actions</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Semaine 1</w:t>
            </w:r>
          </w:p>
        </w:tc>
        <w:tc>
          <w:tcPr>
            <w:tcW w:type="dxa" w:w="1200"/>
            <w:tcMar>
              <w:top w:type="dxa" w:w="90"/>
              <w:left w:type="dxa" w:w="110"/>
              <w:bottom w:type="dxa" w:w="90"/>
              <w:right w:type="dxa" w:w="110"/>
            </w:tcMar>
            <w:vAlign w:val="center"/>
          </w:tcPr>
          <w:p>
            <w:pPr>
              <w:spacing w:after="40"/>
              <w:jc w:val="left"/>
            </w:pPr>
            <w:r>
              <w:rPr>
                <w:b w:val="false"/>
                <w:bCs w:val="false"/>
                <w:sz w:val="17"/>
                <w:szCs w:val="17"/>
              </w:rPr>
              <w:t xml:space="preserve">P0</w:t>
            </w:r>
          </w:p>
        </w:tc>
        <w:tc>
          <w:tcPr>
            <w:tcW w:type="dxa" w:w="7000"/>
            <w:tcMar>
              <w:top w:type="dxa" w:w="90"/>
              <w:left w:type="dxa" w:w="110"/>
              <w:bottom w:type="dxa" w:w="90"/>
              <w:right w:type="dxa" w:w="110"/>
            </w:tcMar>
            <w:vAlign w:val="center"/>
          </w:tcPr>
          <w:p>
            <w:pPr>
              <w:spacing w:after="40"/>
              <w:jc w:val="left"/>
            </w:pPr>
            <w:r>
              <w:rPr>
                <w:b w:val="false"/>
                <w:bCs w:val="false"/>
                <w:sz w:val="17"/>
                <w:szCs w:val="17"/>
              </w:rPr>
              <w:t xml:space="preserve">Installer un outil de mesure sans cookies (§8). Instrumenter les événements CTA/formulaire dès aujourd’hui, avant même que le reste du tunnel existe, pour avoir une base de comparaison.</w:t>
            </w:r>
          </w:p>
        </w:tc>
      </w:tr>
      <w:tr>
        <w:tc>
          <w:tcPr>
            <w:tcW w:type="dxa" w:w="1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Semaine 1-2</w:t>
            </w:r>
          </w:p>
        </w:tc>
        <w:tc>
          <w:tcPr>
            <w:tcW w:type="dxa" w:w="1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P0</w:t>
            </w:r>
          </w:p>
        </w:tc>
        <w:tc>
          <w:tcPr>
            <w:tcW w:type="dxa" w:w="7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Construire l’écran de qualification (§5, étape 2) et l’inscription en libre-service (§5, étape 3), reliés au CTA hero existant.</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Semaine 2-3</w:t>
            </w:r>
          </w:p>
        </w:tc>
        <w:tc>
          <w:tcPr>
            <w:tcW w:type="dxa" w:w="1200"/>
            <w:tcMar>
              <w:top w:type="dxa" w:w="90"/>
              <w:left w:type="dxa" w:w="110"/>
              <w:bottom w:type="dxa" w:w="90"/>
              <w:right w:type="dxa" w:w="110"/>
            </w:tcMar>
            <w:vAlign w:val="center"/>
          </w:tcPr>
          <w:p>
            <w:pPr>
              <w:spacing w:after="40"/>
              <w:jc w:val="left"/>
            </w:pPr>
            <w:r>
              <w:rPr>
                <w:b w:val="false"/>
                <w:bCs w:val="false"/>
                <w:sz w:val="17"/>
                <w:szCs w:val="17"/>
              </w:rPr>
              <w:t xml:space="preserve">P0</w:t>
            </w:r>
          </w:p>
        </w:tc>
        <w:tc>
          <w:tcPr>
            <w:tcW w:type="dxa" w:w="7000"/>
            <w:tcMar>
              <w:top w:type="dxa" w:w="90"/>
              <w:left w:type="dxa" w:w="110"/>
              <w:bottom w:type="dxa" w:w="90"/>
              <w:right w:type="dxa" w:w="110"/>
            </w:tcMar>
            <w:vAlign w:val="center"/>
          </w:tcPr>
          <w:p>
            <w:pPr>
              <w:spacing w:after="40"/>
              <w:jc w:val="left"/>
            </w:pPr>
            <w:r>
              <w:rPr>
                <w:b w:val="false"/>
                <w:bCs w:val="false"/>
                <w:sz w:val="17"/>
                <w:szCs w:val="17"/>
              </w:rPr>
              <w:t xml:space="preserve">Construire l’onboarding 4 étapes et le premier rapport de secteur (§5, étapes 4-5), en réutilisant les données déjà collectées à la qualification.</w:t>
            </w:r>
          </w:p>
        </w:tc>
      </w:tr>
      <w:tr>
        <w:tc>
          <w:tcPr>
            <w:tcW w:type="dxa" w:w="1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Semaine 3</w:t>
            </w:r>
          </w:p>
        </w:tc>
        <w:tc>
          <w:tcPr>
            <w:tcW w:type="dxa" w:w="1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P0</w:t>
            </w:r>
          </w:p>
        </w:tc>
        <w:tc>
          <w:tcPr>
            <w:tcW w:type="dxa" w:w="7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Mettre en place les séquences e-mail 1 à 4 (bienvenue, activation, onboarding inachevé, premier résultat) sur l’infrastructure Resend déjà connectée.</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Semaine 4</w:t>
            </w:r>
          </w:p>
        </w:tc>
        <w:tc>
          <w:tcPr>
            <w:tcW w:type="dxa" w:w="1200"/>
            <w:tcMar>
              <w:top w:type="dxa" w:w="90"/>
              <w:left w:type="dxa" w:w="110"/>
              <w:bottom w:type="dxa" w:w="90"/>
              <w:right w:type="dxa" w:w="110"/>
            </w:tcMar>
            <w:vAlign w:val="center"/>
          </w:tcPr>
          <w:p>
            <w:pPr>
              <w:spacing w:after="40"/>
              <w:jc w:val="left"/>
            </w:pPr>
            <w:r>
              <w:rPr>
                <w:b w:val="false"/>
                <w:bCs w:val="false"/>
                <w:sz w:val="17"/>
                <w:szCs w:val="17"/>
              </w:rPr>
              <w:t xml:space="preserve">P1</w:t>
            </w:r>
          </w:p>
        </w:tc>
        <w:tc>
          <w:tcPr>
            <w:tcW w:type="dxa" w:w="7000"/>
            <w:tcMar>
              <w:top w:type="dxa" w:w="90"/>
              <w:left w:type="dxa" w:w="110"/>
              <w:bottom w:type="dxa" w:w="90"/>
              <w:right w:type="dxa" w:w="110"/>
            </w:tcMar>
            <w:vAlign w:val="center"/>
          </w:tcPr>
          <w:p>
            <w:pPr>
              <w:spacing w:after="40"/>
              <w:jc w:val="left"/>
            </w:pPr>
            <w:r>
              <w:rPr>
                <w:b w:val="false"/>
                <w:bCs w:val="false"/>
                <w:sz w:val="17"/>
                <w:szCs w:val="17"/>
              </w:rPr>
              <w:t xml:space="preserve">Mettre en place les séquences 5 à 8 (inactivité, conversion, fidélisation, témoignage).</w:t>
            </w:r>
          </w:p>
        </w:tc>
      </w:tr>
      <w:tr>
        <w:tc>
          <w:tcPr>
            <w:tcW w:type="dxa" w:w="14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Semaine 4</w:t>
            </w:r>
          </w:p>
        </w:tc>
        <w:tc>
          <w:tcPr>
            <w:tcW w:type="dxa" w:w="12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P1</w:t>
            </w:r>
          </w:p>
        </w:tc>
        <w:tc>
          <w:tcPr>
            <w:tcW w:type="dxa" w:w="7000"/>
            <w:shd w:fill="EEF2F7" w:val="clear"/>
            <w:tcMar>
              <w:top w:type="dxa" w:w="90"/>
              <w:left w:type="dxa" w:w="110"/>
              <w:bottom w:type="dxa" w:w="90"/>
              <w:right w:type="dxa" w:w="110"/>
            </w:tcMar>
            <w:vAlign w:val="center"/>
          </w:tcPr>
          <w:p>
            <w:pPr>
              <w:spacing w:after="40"/>
              <w:jc w:val="left"/>
            </w:pPr>
            <w:r>
              <w:rPr>
                <w:b w:val="false"/>
                <w:bCs w:val="false"/>
                <w:sz w:val="17"/>
                <w:szCs w:val="17"/>
              </w:rPr>
              <w:t xml:space="preserve">Lancer le test A/B du CTA principal et démarrer la rédaction des pages SEO par usage (§7, §9).</w:t>
            </w:r>
          </w:p>
        </w:tc>
      </w:tr>
      <w:tr>
        <w:tc>
          <w:tcPr>
            <w:tcW w:type="dxa" w:w="1400"/>
            <w:tcMar>
              <w:top w:type="dxa" w:w="90"/>
              <w:left w:type="dxa" w:w="110"/>
              <w:bottom w:type="dxa" w:w="90"/>
              <w:right w:type="dxa" w:w="110"/>
            </w:tcMar>
            <w:vAlign w:val="center"/>
          </w:tcPr>
          <w:p>
            <w:pPr>
              <w:spacing w:after="40"/>
              <w:jc w:val="left"/>
            </w:pPr>
            <w:r>
              <w:rPr>
                <w:b w:val="false"/>
                <w:bCs w:val="false"/>
                <w:sz w:val="17"/>
                <w:szCs w:val="17"/>
              </w:rPr>
              <w:t xml:space="preserve">Continu</w:t>
            </w:r>
          </w:p>
        </w:tc>
        <w:tc>
          <w:tcPr>
            <w:tcW w:type="dxa" w:w="1200"/>
            <w:tcMar>
              <w:top w:type="dxa" w:w="90"/>
              <w:left w:type="dxa" w:w="110"/>
              <w:bottom w:type="dxa" w:w="90"/>
              <w:right w:type="dxa" w:w="110"/>
            </w:tcMar>
            <w:vAlign w:val="center"/>
          </w:tcPr>
          <w:p>
            <w:pPr>
              <w:spacing w:after="40"/>
              <w:jc w:val="left"/>
            </w:pPr>
            <w:r>
              <w:rPr>
                <w:b w:val="false"/>
                <w:bCs w:val="false"/>
                <w:sz w:val="17"/>
                <w:szCs w:val="17"/>
              </w:rPr>
              <w:t xml:space="preserve">P1/P2</w:t>
            </w:r>
          </w:p>
        </w:tc>
        <w:tc>
          <w:tcPr>
            <w:tcW w:type="dxa" w:w="7000"/>
            <w:tcMar>
              <w:top w:type="dxa" w:w="90"/>
              <w:left w:type="dxa" w:w="110"/>
              <w:bottom w:type="dxa" w:w="90"/>
              <w:right w:type="dxa" w:w="110"/>
            </w:tcMar>
            <w:vAlign w:val="center"/>
          </w:tcPr>
          <w:p>
            <w:pPr>
              <w:spacing w:after="40"/>
              <w:jc w:val="left"/>
            </w:pPr>
            <w:r>
              <w:rPr>
                <w:b w:val="false"/>
                <w:bCs w:val="false"/>
                <w:sz w:val="17"/>
                <w:szCs w:val="17"/>
              </w:rPr>
              <w:t xml:space="preserve">Solliciter un vrai témoignage dès le premier client actif 30 jours ; poser les bases du programme de recommandation.</w:t>
            </w:r>
          </w:p>
        </w:tc>
      </w:tr>
    </w:tbl>
    <w:p>
      <w:pPr>
        <w:pStyle w:val="Heading2"/>
      </w:pPr>
      <w:r>
        <w:t xml:space="preserve">KPI à suivre chaque semaine</w:t>
      </w:r>
    </w:p>
    <w:p>
      <w:pPr>
        <w:pStyle w:val="ListParagraph"/>
        <w:numPr>
          <w:ilvl w:val="0"/>
          <w:numId w:val="2"/>
        </w:numPr>
        <w:spacing w:after="80"/>
      </w:pPr>
      <w:r>
        <w:t xml:space="preserve">Taux de clic sur le CTA principal du hero.</w:t>
      </w:r>
    </w:p>
    <w:p>
      <w:pPr>
        <w:pStyle w:val="ListParagraph"/>
        <w:numPr>
          <w:ilvl w:val="0"/>
          <w:numId w:val="2"/>
        </w:numPr>
        <w:spacing w:after="80"/>
      </w:pPr>
      <w:r>
        <w:t xml:space="preserve">Taux de démarrage et de complétion du formulaire de qualification.</w:t>
      </w:r>
    </w:p>
    <w:p>
      <w:pPr>
        <w:pStyle w:val="ListParagraph"/>
        <w:numPr>
          <w:ilvl w:val="0"/>
          <w:numId w:val="2"/>
        </w:numPr>
        <w:spacing w:after="80"/>
      </w:pPr>
      <w:r>
        <w:t xml:space="preserve">Nombre de comptes créés.</w:t>
      </w:r>
    </w:p>
    <w:p>
      <w:pPr>
        <w:pStyle w:val="ListParagraph"/>
        <w:numPr>
          <w:ilvl w:val="0"/>
          <w:numId w:val="2"/>
        </w:numPr>
        <w:spacing w:after="80"/>
      </w:pPr>
      <w:r>
        <w:t xml:space="preserve">Taux de complétion de l’onboarding.</w:t>
      </w:r>
    </w:p>
    <w:p>
      <w:pPr>
        <w:pStyle w:val="ListParagraph"/>
        <w:numPr>
          <w:ilvl w:val="0"/>
          <w:numId w:val="2"/>
        </w:numPr>
        <w:spacing w:after="80"/>
      </w:pPr>
      <w:r>
        <w:t xml:space="preserve">Taux d’ouverture du premier rapport de secteur.</w:t>
      </w:r>
    </w:p>
    <w:p>
      <w:pPr>
        <w:pStyle w:val="ListParagraph"/>
        <w:numPr>
          <w:ilvl w:val="0"/>
          <w:numId w:val="2"/>
        </w:numPr>
        <w:spacing w:after="80"/>
      </w:pPr>
      <w:r>
        <w:t xml:space="preserve">Nombre d’essais démarrés et d’abonnements payés.</w:t>
      </w:r>
    </w:p>
    <w:p>
      <w:pPr>
        <w:pStyle w:val="ListParagraph"/>
        <w:numPr>
          <w:ilvl w:val="0"/>
          <w:numId w:val="2"/>
        </w:numPr>
        <w:spacing w:after="80"/>
      </w:pPr>
      <w:r>
        <w:t xml:space="preserve">Churn mensuel, dès qu’un premier mois de données existe.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683F8"/>
      <w:sz w:val="32"/>
      <w:szCs w:val="32"/>
    </w:rPr>
  </w:style>
  <w:style w:type="paragraph" w:styleId="Heading2">
    <w:name w:val="Heading 2"/>
    <w:basedOn w:val="Normal"/>
    <w:next w:val="Normal"/>
    <w:qFormat/>
    <w:pPr>
      <w:spacing w:after="150" w:before="300"/>
      <w:outlineLvl w:val="1"/>
    </w:pPr>
    <w:rPr>
      <w:b/>
      <w:bCs/>
      <w:color w:val="111418"/>
      <w:sz w:val="26"/>
      <w:szCs w:val="26"/>
    </w:rPr>
  </w:style>
  <w:style w:type="paragraph" w:styleId="Heading3">
    <w:name w:val="Heading 3"/>
    <w:basedOn w:val="Normal"/>
    <w:next w:val="Normal"/>
    <w:qFormat/>
    <w:pPr>
      <w:spacing w:after="100" w:before="200"/>
      <w:outlineLvl w:val="2"/>
    </w:pPr>
    <w:rPr>
      <w:b/>
      <w:bCs/>
      <w:color w:val="5B64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2026-08-22T06:12:08.755Z</dcterms:created>
  <dcterms:modified xsi:type="dcterms:W3CDTF">2026-08-22T06:12:08.757Z</dcterms:modified>
</cp:coreProperties>
</file>

<file path=docProps/custom.xml><?xml version="1.0" encoding="utf-8"?>
<Properties xmlns="http://schemas.openxmlformats.org/officeDocument/2006/custom-properties" xmlns:vt="http://schemas.openxmlformats.org/officeDocument/2006/docPropsVTypes"/>
</file>