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t>ЛАБОРАТОРНАЯ РАБОТА 2</w:t>
      </w:r>
    </w:p>
    <w:p>
      <w:pPr>
        <w:pStyle w:val="Title"/>
        <w:widowControl/>
        <w:jc w:val="center"/>
      </w:pPr>
      <w:r>
        <w:t>Включение и агрегирование компонентов ACOM</w:t>
      </w:r>
    </w:p>
    <w:p>
      <w:pPr>
        <w:pStyle w:val="Subtitle"/>
        <w:widowControl/>
        <w:jc w:val="center"/>
      </w:pPr>
      <w:r>
        <w:t>Сравнение запросов к локальной модели</w:t>
      </w:r>
    </w:p>
    <w:p>
      <w:pPr>
        <w:widowControl/>
        <w:jc w:val="center"/>
      </w:pPr>
      <w:r>
        <w:t>На основе темы 65 «Блочная сортировка / Bucket sort»</w:t>
      </w:r>
    </w:p>
    <w:p>
      <w:pPr>
        <w:widowControl/>
        <w:jc w:val="both"/>
      </w:pPr>
      <w:r>
        <w:t>Выполнила: Фирсова Валерия Дмитриевна</w:t>
      </w:r>
    </w:p>
    <w:p>
      <w:pPr>
        <w:widowControl/>
        <w:jc w:val="both"/>
      </w:pPr>
      <w:r>
        <w:t>Группа: 24ТИДИ</w:t>
      </w:r>
    </w:p>
    <w:p>
      <w:pPr>
        <w:widowControl/>
        <w:jc w:val="both"/>
      </w:pPr>
      <w:r>
        <w:t>Эксперимент проведён 20–21 октября 2026 года. Текст обновлён 25 октября 2026 года.</w:t>
      </w:r>
    </w:p>
    <w:p>
      <w:pPr>
        <w:widowControl/>
        <w:jc w:val="both"/>
      </w:pPr>
      <w:r>
        <w:t>В этой работе компонент блочной сортировки из первой лабораторной объединён с калькуляторами. Программа выполняет четыре арифметические операции и сохраняет прежнюю сортировку. Главное в работе — правильно связать компоненты: обеспечить переходы между интерфейсами и освободить каждый объект в нужный момент.</w:t>
      </w:r>
    </w:p>
    <w:p>
      <w:pPr>
        <w:widowControl/>
        <w:jc w:val="both"/>
      </w:pPr>
      <w:r>
        <w:t>Локальная модель Qwen подготовила девять решений: по три для краткого запроса, технического задания по ГОСТ и обычного подробного запроса. Все решения доведены до прохождения проверок. С первого ответа не собралось ни одно. В этой серии ТЗ по ГОСТ дало наименьшую медиану времени доведения, но этого недостаточно, чтобы признать его лучшим для любых задач.</w:t>
      </w:r>
    </w:p>
    <w:p>
      <w:pPr>
        <w:widowControl/>
        <w:jc w:val="both"/>
      </w:pPr>
      <w:r>
        <w:t>В основной части описаны устройство программы, проверки, сравнение запросов и скорость готовых компонентов. Параметры запуска и подробности учёта вынесены в приложение 1. Исходные тексты двух запросов сохранены без изменений в приложении 2.</w:t>
      </w:r>
    </w:p>
    <w:p>
      <w:pPr>
        <w:widowControl/>
      </w:pPr>
      <w:r>
        <w:br w:type="page"/>
      </w:r>
    </w:p>
    <w:p>
      <w:pPr>
        <w:pStyle w:val="Heading1"/>
        <w:widowControl/>
      </w:pPr>
      <w:bookmarkStart w:id="1" w:name="arpo_section_1"/>
      <w:r>
        <w:t>1 Задача и связь с первой лабораторной</w:t>
      </w:r>
      <w:bookmarkEnd w:id="1"/>
    </w:p>
    <w:p>
      <w:pPr>
        <w:widowControl/>
        <w:jc w:val="both"/>
      </w:pPr>
      <w:r>
        <w:t>По заданию № 2 нужно добавить калькуляторы к ранее созданному компоненту с помощью включения и агрегирования. Клиент должен получать любой поддерживаемый интерфейс из любого другого через QueryInterface. Для полного объёма задания прежний компонент должен допускать внешнее агрегирование, а новый Eco.Lab2 — использовать его вместе с учебными калькуляторами A–E.</w:t>
      </w:r>
    </w:p>
    <w:p>
      <w:pPr>
        <w:widowControl/>
        <w:jc w:val="both"/>
      </w:pPr>
      <w:r>
        <w:t>В задании прежний компонент назван Eco.Lab1. Здесь эту роль выполняет Eco.Lab65: число 65 — номер темы первой работы. Файл сортировки BucketMethods.c взят из подробного варианта третьей пары первой лабораторной и сохранён побайтно. Названия интерфейсов, их идентификаторы и порядок методов также сохранены.</w:t>
      </w:r>
    </w:p>
    <w:p>
      <w:pPr>
        <w:widowControl/>
        <w:jc w:val="both"/>
      </w:pPr>
      <w:r>
        <w:t>Новую часть модель писала в файле Reuse.c. В нём находятся оба объекта, таблицы методов, создание и освобождение объектов, переходы между интерфейсами и связи с калькуляторами. Контракт, фабрики, демонстрационный клиент, независимые проверки и отчёт подготовлены организатором эксперимента. Организатор не исправлял измеряемый C-код вручную: каждый заменяющий файл и исправления возвращала Qwen.</w:t>
      </w:r>
    </w:p>
    <w:p>
      <w:pPr>
        <w:pStyle w:val="Heading1"/>
        <w:widowControl/>
      </w:pPr>
      <w:bookmarkStart w:id="2" w:name="arpo_section_2"/>
      <w:r>
        <w:t>2 Как устроены компоненты</w:t>
      </w:r>
      <w:bookmarkEnd w:id="2"/>
    </w:p>
    <w:p>
      <w:pPr>
        <w:pStyle w:val="Heading2"/>
        <w:widowControl/>
      </w:pPr>
      <w:r>
        <w:t>Основные понятия</w:t>
      </w:r>
    </w:p>
    <w:p>
      <w:pPr>
        <w:widowControl/>
        <w:jc w:val="both"/>
      </w:pPr>
      <w:r>
        <w:t>Интерфейс — набор методов, через который клиент обращается к объекту. Например, X предоставляет сложение и вычитание, Y — умножение и деление, а Lab65 — сортировку. QueryInterface позволяет запросить другой интерфейс того же объекта.</w:t>
      </w:r>
    </w:p>
    <w:p>
      <w:pPr>
        <w:widowControl/>
        <w:jc w:val="both"/>
      </w:pPr>
      <w:r>
        <w:t>У всех интерфейсов есть общая основа IEcoUnknown. Кроме QueryInterface, она содержит AddRef и Release. Первый метод учитывает новую ссылку на объект, второй освобождает ссылку. Объект должен оставаться доступным, пока у клиента есть хотя бы одна действующая ссылка.</w:t>
      </w:r>
    </w:p>
    <w:p>
      <w:pPr>
        <w:pStyle w:val="Heading2"/>
        <w:widowControl/>
      </w:pPr>
      <w:r>
        <w:t>Включение</w:t>
      </w:r>
    </w:p>
    <w:p>
      <w:pPr>
        <w:widowControl/>
        <w:jc w:val="both"/>
      </w:pPr>
      <w:r>
        <w:t>При включении внешний объект хранит ссылку на внутренний компонент и передаёт ему работу через собственные методы. Клиент видит интерфейсы внешнего объекта. Например, сложение через X объекта Lab65 вызывает калькулятор A, а в другой сборке — C. Умножение и деление Lab65 передаёт компоненту D. Сам D включает B.</w:t>
      </w:r>
    </w:p>
    <w:p>
      <w:pPr>
        <w:widowControl/>
        <w:jc w:val="both"/>
      </w:pPr>
      <w:r>
        <w:t>Eco.Lab2 включает один экземпляр E. Оба арифметических интерфейса Lab2 передают вызовы этому же E. Внутри E уже используется агрегирование B. Поэтому повторно вычислять арифметику в собственной реализации не требуется.</w:t>
      </w:r>
    </w:p>
    <w:p>
      <w:pPr>
        <w:pStyle w:val="Heading2"/>
        <w:widowControl/>
      </w:pPr>
      <w:r>
        <w:t>Агрегирование</w:t>
      </w:r>
    </w:p>
    <w:p>
      <w:pPr>
        <w:widowControl/>
        <w:jc w:val="both"/>
      </w:pPr>
      <w:r>
        <w:t>При агрегировании клиент получает настоящий интерфейс внутреннего компонента, а управление ссылками остаётся у внешнего объекта. В нашей программе Lab2 выдаёт интерфейс сортировки непосредственно из вложенного Lab65. Его QueryInterface, AddRef и Release обращаются к управляющему IEcoUnknown объекта Lab2.</w:t>
      </w:r>
    </w:p>
    <w:p>
      <w:pPr>
        <w:widowControl/>
        <w:jc w:val="both"/>
      </w:pPr>
      <w:r>
        <w:t>Для клиента это один составной объект: запрос IEcoUnknown через Lab2, Lab65, X или Y возвращает один и тот же адрес. Lab65 при этом сохраняет отдельный внутренний IEcoUnknown. Он нужен только для создания и освобождения агрегата и не выдаётся клиенту как общий интерфейс составного объекта.</w:t>
      </w:r>
    </w:p>
    <w:p>
      <w:pPr>
        <w:keepNext/>
        <w:widowControl/>
      </w:pPr>
      <w:r>
        <w:drawing>
          <wp:inline xmlns:a="http://schemas.openxmlformats.org/drawingml/2006/main" xmlns:pic="http://schemas.openxmlformats.org/drawingml/2006/picture">
            <wp:extent cx="5868000" cy="3751672"/>
            <wp:docPr id="1" name="Picture 1" descr="Lab2 включает E и агрегирует Lab65. Lab65 включает A или C и D. E агрегирует B, D включает отдельный B."/>
            <wp:cNvGraphicFramePr>
              <a:graphicFrameLocks noChangeAspect="1"/>
            </wp:cNvGraphicFramePr>
            <a:graphic>
              <a:graphicData uri="http://schemas.openxmlformats.org/drawingml/2006/picture">
                <pic:pic>
                  <pic:nvPicPr>
                    <pic:cNvPr id="0" name="acom-architecture-ru.png"/>
                    <pic:cNvPicPr/>
                  </pic:nvPicPr>
                  <pic:blipFill>
                    <a:blip r:embed="rId13"/>
                    <a:stretch>
                      <a:fillRect/>
                    </a:stretch>
                  </pic:blipFill>
                  <pic:spPr>
                    <a:xfrm>
                      <a:off x="0" y="0"/>
                      <a:ext cx="5868000" cy="3751672"/>
                    </a:xfrm>
                    <a:prstGeom prst="rect"/>
                  </pic:spPr>
                </pic:pic>
              </a:graphicData>
            </a:graphic>
          </wp:inline>
        </w:drawing>
      </w:r>
    </w:p>
    <w:p>
      <w:pPr>
        <w:widowControl/>
        <w:jc w:val="both"/>
      </w:pPr>
      <w:r>
        <w:t>Рисунок 1 Связи между компонентами</w:t>
      </w:r>
    </w:p>
    <w:tbl>
      <w:tblPr>
        <w:tblW w:type="auto" w:w="0"/>
        <w:jc w:val="center"/>
        <w:tblLayout w:type="fixed"/>
        <w:tblLook w:firstColumn="1" w:firstRow="1" w:lastColumn="0" w:lastRow="0" w:noHBand="0" w:noVBand="1" w:val="04A0"/>
      </w:tblPr>
      <w:tblGrid>
        <w:gridCol w:w="2438"/>
        <w:gridCol w:w="6917"/>
      </w:tblGrid>
      <w:tr>
        <w:trPr>
          <w:cantSplit/>
          <w:tblHeader/>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Интерфейс</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Что предоставляет</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IEcoUnknown</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QueryInterface, AddRef и Release</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IEcoLab65</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Пять методов сортировки для целых и вещественных типов</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IEcoLab2</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GetVersion возвращает номер версии 2</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IEcoCalculatorX</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Addition и Subtraction — сложение и вычитание</w:t>
            </w:r>
          </w:p>
        </w:tc>
      </w:tr>
      <w:tr>
        <w:trPr>
          <w:cantSplit/>
        </w:trPr>
        <w:tc>
          <w:tcPr>
            <w:tcW w:type="dxa" w:w="243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IEcoCalculatorY</w:t>
            </w:r>
          </w:p>
        </w:tc>
        <w:tc>
          <w:tcPr>
            <w:tcW w:type="dxa" w:w="6917"/>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Multiplication и Division — умножение и деление</w:t>
            </w:r>
          </w:p>
        </w:tc>
      </w:tr>
    </w:tbl>
    <w:p>
      <w:pPr>
        <w:widowControl/>
        <w:spacing w:after="20"/>
      </w:pPr>
    </w:p>
    <w:p>
      <w:pPr>
        <w:widowControl/>
        <w:jc w:val="both"/>
      </w:pPr>
      <w:r>
        <w:t>В самостоятельном Lab65 поддерживаются четыре публичных интерфейса: Unknown, Lab65, X и Y. У Lab2 их пять: добавляется Lab2. Проверяются все пары переходов: 4 × 4 и 5 × 5 соответственно. Набор интерфейсов не меняется во время жизни объекта.</w:t>
      </w:r>
    </w:p>
    <w:p>
      <w:pPr>
        <w:widowControl/>
        <w:jc w:val="both"/>
      </w:pPr>
      <w:r>
        <w:t>Внутренний Lab65 не удерживает постоянную публичную ссылку на управляющий Lab2, иначе возник бы цикл ссылок. Lab2 хранит только внутренний IEcoUnknown агрегата и освобождает его при завершении. Любая ошибка создания должна освободить уже полученные ресурсы. Сам Lab2 дальнейшее внешнее агрегирование не поддерживает и явно отклоняет такой запрос.</w:t>
      </w:r>
    </w:p>
    <w:p>
      <w:pPr>
        <w:pStyle w:val="Heading2"/>
        <w:widowControl/>
      </w:pPr>
      <w:r>
        <w:t>Особенности учебных калькуляторов</w:t>
      </w:r>
    </w:p>
    <w:p>
      <w:pPr>
        <w:widowControl/>
        <w:jc w:val="both"/>
      </w:pPr>
      <w:r>
        <w:t>Компоненты A–E взяты из комплекта 001.InsideACOM. У A и C совпадает идентификатор компонента, поэтому они запускаются в двух отдельных вариантах регистрации — A и C. В совокупности эти варианты используют все пять учебных калькуляторов.</w:t>
      </w:r>
    </w:p>
    <w:p>
      <w:pPr>
        <w:widowControl/>
        <w:jc w:val="both"/>
      </w:pPr>
      <w:r>
        <w:t>В исходных C и D обнаружен дефект: запрос IEcoUnknown через их X и Y возвращает разные адреса. Их интерфейсы остаются внутри наших объектов. Клиент получает собственные интерфейсы Lab65 и Lab2, для которых единый адрес IEcoUnknown проверяется отдельно. Исходники калькуляторов преподавателя не исправлялись.</w:t>
      </w:r>
    </w:p>
    <w:p>
      <w:pPr>
        <w:pStyle w:val="Heading1"/>
        <w:widowControl/>
      </w:pPr>
      <w:bookmarkStart w:id="3" w:name="arpo_section_3"/>
      <w:r>
        <w:t>3 Что сохранено от блочной сортировки</w:t>
      </w:r>
      <w:bookmarkEnd w:id="3"/>
    </w:p>
    <w:p>
      <w:pPr>
        <w:widowControl/>
        <w:jc w:val="both"/>
      </w:pPr>
      <w:r>
        <w:t>Сортировка распределяет значения по блокам, упорядочивает каждый блок вставками и собирает результат обратно. Сначала проверяются входные данные и выделяется память. Поэтому неверный ввод или отказ выделения не должны менять исходный массив.</w:t>
      </w:r>
    </w:p>
    <w:p>
      <w:pPr>
        <w:widowControl/>
        <w:jc w:val="both"/>
      </w:pPr>
      <w:r>
        <w:t>Для знаковых целых номер блока вычисляется через беззнаковое представление с инверсией старшего бита. Это сохраняет порядок без преобразования больших целых в double. Для вещественных чисел используется нормирование допустимого диапазона; верхняя граница относится к последнему блоку. Начала блоков определяются по накопленным размерам.</w:t>
      </w:r>
    </w:p>
    <w:p>
      <w:pPr>
        <w:widowControl/>
        <w:jc w:val="both"/>
      </w:pPr>
      <w:r>
        <w:t>Пусть n — число элементов, B — число блоков, а nᵢ — число элементов в блоке i. Тогда время работы и дополнительная память оцениваются так:</w:t>
      </w:r>
    </w:p>
    <w:p>
      <w:pPr>
        <w:keepNext/>
        <w:widowControl/>
        <w:jc w:val="center"/>
      </w:pPr>
      <m:oMath>
        <m:r>
          <m:t>T(n, B) = O(n + B + ∑ </m:t>
        </m:r>
        <m:sSubSup>
          <m:e>
            <m:r>
              <m:t>n</m:t>
            </m:r>
          </m:e>
          <m:sub>
            <m:r>
              <m:t>i</m:t>
            </m:r>
          </m:sub>
          <m:sup>
            <m:r>
              <m:t>2</m:t>
            </m:r>
          </m:sup>
        </m:sSubSup>
        <m:r>
          <m:t>);   S(n, B) = O(n + B)</m:t>
        </m:r>
      </m:oMath>
    </w:p>
    <w:p>
      <w:pPr>
        <w:keepNext/>
        <w:widowControl/>
        <w:jc w:val="center"/>
      </w:pPr>
      <m:oMath>
        <m:r>
          <m:t>O(n + B + </m:t>
        </m:r>
        <m:f>
          <m:num>
            <m:sSup>
              <m:e>
                <m:r>
                  <m:t>n</m:t>
                </m:r>
              </m:e>
              <m:sup>
                <m:r>
                  <m:t>2</m:t>
                </m:r>
              </m:sup>
            </m:sSup>
          </m:num>
          <m:den>
            <m:r>
              <m:t>B</m:t>
            </m:r>
          </m:den>
        </m:f>
        <m:r>
          <m:t>)</m:t>
        </m:r>
      </m:oMath>
    </w:p>
    <w:p>
      <w:pPr>
        <w:widowControl/>
        <w:jc w:val="both"/>
      </w:pPr>
      <w:r>
        <w:t>Первая формула учитывает стоимость сортировки вставками внутри каждого блока. Вторая оценка времени относится к примерно равномерному распределению. Если почти все элементы попадут в один блок, время может расти квадратично. Постоянное число блоков не гарантирует линейную скорость для любого массива.</w:t>
      </w:r>
    </w:p>
    <w:p>
      <w:pPr>
        <w:widowControl/>
        <w:jc w:val="both"/>
      </w:pPr>
      <w:r>
        <w:t>Поддерживаются int32_t, int64_t, float, double и long double. Длина массива — до 1 000 000, число блоков — от 1 до 1 024. Целые принимаются во всём знаковом диапазоне. Вещественные значения должны быть конечными и находиться между −1 000 000 и 1 000 000. На проверенном Mac long double имеет ту же точность, что и double.</w:t>
      </w:r>
    </w:p>
    <w:p>
      <w:pPr>
        <w:widowControl/>
        <w:jc w:val="both"/>
      </w:pPr>
      <w:r>
        <w:t>Дополнительные арифметические методы и переходы между фиксированным набором интерфейсов не зависят от длины массива. Память объектов ACOM также постоянна относительно этой длины.</w:t>
      </w:r>
    </w:p>
    <w:p>
      <w:pPr>
        <w:pStyle w:val="Heading1"/>
        <w:widowControl/>
      </w:pPr>
      <w:bookmarkStart w:id="4" w:name="arpo_section_4"/>
      <w:r>
        <w:t>4 Как проверялась работа</w:t>
      </w:r>
      <w:bookmarkEnd w:id="4"/>
    </w:p>
    <w:p>
      <w:pPr>
        <w:widowControl/>
        <w:jc w:val="both"/>
      </w:pPr>
      <w:r>
        <w:t>Независимый C-клиент сначала создаёт объекты через настоящую шину Eco. Затем он использует проверочное окружение, которое считает ссылки и выделения памяти и умеет имитировать отказы. Правильные арифметические ответы проверяются отдельно от правильного устройства ACOM.</w:t>
      </w:r>
    </w:p>
    <w:tbl>
      <w:tblPr>
        <w:tblW w:type="auto" w:w="0"/>
        <w:jc w:val="center"/>
        <w:tblLayout w:type="fixed"/>
        <w:tblLook w:firstColumn="1" w:firstRow="1" w:lastColumn="0" w:lastRow="0" w:noHBand="0" w:noVBand="1" w:val="04A0"/>
      </w:tblPr>
      <w:tblGrid>
        <w:gridCol w:w="2494"/>
        <w:gridCol w:w="6860"/>
      </w:tblGrid>
      <w:tr>
        <w:trPr>
          <w:cantSplit/>
          <w:tblHeader/>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Что проверяли</w:t>
            </w:r>
          </w:p>
        </w:tc>
        <w:tc>
          <w:tcPr>
            <w:tcW w:type="dxa" w:w="68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Как проверяли</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Переходы между интерфейсами</w:t>
            </w:r>
          </w:p>
        </w:tc>
        <w:tc>
          <w:tcPr>
            <w:tcW w:type="dxa" w:w="68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Все пары переходов 4 × 4 у Lab65 и 5 × 5 у Lab2; везде один адрес общего IEcoUnknown</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Управление ссылками</w:t>
            </w:r>
          </w:p>
        </w:tc>
        <w:tc>
          <w:tcPr>
            <w:tcW w:type="dxa" w:w="68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AddRef и Release, сохранение объекта через другой интерфейс и освобождение после последней ссылки</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Настоящее включение</w:t>
            </w:r>
          </w:p>
        </w:tc>
        <w:tc>
          <w:tcPr>
            <w:tcW w:type="dxa" w:w="68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Проверочный клиент временно задаёт отличимые результаты методов калькулятора. Внешний объект должен передать именно их</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Настоящее агрегирование</w:t>
            </w:r>
          </w:p>
        </w:tc>
        <w:tc>
          <w:tcPr>
            <w:tcW w:type="dxa" w:w="68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Внешний проверочный управляющий объект и прямое получение интерфейса вложенного Lab65</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Ошибки и ресурсы</w:t>
            </w:r>
          </w:p>
        </w:tc>
        <w:tc>
          <w:tcPr>
            <w:tcW w:type="dxa" w:w="68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Неверные указатели, неизвестный интерфейс, отказ прямой зависимости и первого выделения памяти</w:t>
            </w:r>
          </w:p>
        </w:tc>
      </w:tr>
      <w:tr>
        <w:trPr>
          <w:cantSplit/>
        </w:trPr>
        <w:tc>
          <w:tcPr>
            <w:tcW w:type="dxa" w:w="249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Язык и сборка</w:t>
            </w:r>
          </w:p>
        </w:tc>
        <w:tc>
          <w:tcPr>
            <w:tcW w:type="dxa" w:w="686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Строгий C89, реальные типы SDK, отсутствие libc в компоненте, проверка внешних символов и запуск с UBSan</w:t>
            </w:r>
          </w:p>
        </w:tc>
      </w:tr>
    </w:tbl>
    <w:p>
      <w:pPr>
        <w:widowControl/>
        <w:spacing w:after="20"/>
      </w:pPr>
    </w:p>
    <w:p>
      <w:pPr>
        <w:widowControl/>
        <w:jc w:val="both"/>
      </w:pPr>
      <w:r>
        <w:t>UBSan — средство компилятора, которое останавливает программу при обнаруженном неопределённом поведении. Оно дополняет обычные сравнения результатов и помогает находить, например, неверное восстановление адреса объекта из интерфейса.</w:t>
      </w:r>
    </w:p>
    <w:p>
      <w:pPr>
        <w:widowControl/>
        <w:jc w:val="both"/>
      </w:pPr>
      <w:r>
        <w:t>Арифметический набор содержит 132 пары операндов в пределах −100…100 с ненулевым делителем. Это конечная сетка с шагами 17 и 19, а не полный перебор диапазона. Сортировка проверяется для пяти типов: массивы по 257 элементов и B = 1, 2, 7, 1 024 сравниваются поэлементно с независимой qsort. Дополнительно проверяются пустой массив, неверные указатели, недопустимое число блоков и неизменность данных при ошибке.</w:t>
      </w:r>
    </w:p>
    <w:tbl>
      <w:tblPr>
        <w:tblW w:type="auto" w:w="0"/>
        <w:jc w:val="center"/>
        <w:tblLayout w:type="fixed"/>
        <w:tblLook w:firstColumn="1" w:firstRow="1" w:lastColumn="0" w:lastRow="0" w:noHBand="0" w:noVBand="1" w:val="04A0"/>
      </w:tblPr>
      <w:tblGrid>
        <w:gridCol w:w="2835"/>
        <w:gridCol w:w="2381"/>
        <w:gridCol w:w="3118"/>
        <w:gridCol w:w="1020"/>
      </w:tblGrid>
      <w:tr>
        <w:trPr>
          <w:cantSplit/>
          <w:tblHeader/>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Пример</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Результат</w:t>
            </w:r>
          </w:p>
        </w:tc>
        <w:tc>
          <w:tcPr>
            <w:tcW w:type="dxa" w:w="311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С чем сравнивали</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Ошибка</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Сложение 3 + 5</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8</w:t>
            </w:r>
          </w:p>
        </w:tc>
        <w:tc>
          <w:tcPr>
            <w:tcW w:type="dxa" w:w="311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Целая арифметика C</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Вычитание 7 − 2</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5</w:t>
            </w:r>
          </w:p>
        </w:tc>
        <w:tc>
          <w:tcPr>
            <w:tcW w:type="dxa" w:w="311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Целая арифметика C</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Умножение 3 × 5</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15</w:t>
            </w:r>
          </w:p>
        </w:tc>
        <w:tc>
          <w:tcPr>
            <w:tcW w:type="dxa" w:w="311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Целая арифметика C</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Целочисленное деление 7 / 2</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3</w:t>
            </w:r>
          </w:p>
        </w:tc>
        <w:tc>
          <w:tcPr>
            <w:tcW w:type="dxa" w:w="311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Целая арифметика C</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Массив 7, −4, 2, 7, 0, −100</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−100, −4, 0, 2, 7, 7</w:t>
            </w:r>
          </w:p>
        </w:tc>
        <w:tc>
          <w:tcPr>
            <w:tcW w:type="dxa" w:w="311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Ожидаемый порядок</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Пять типов по 257 элементов</w:t>
            </w:r>
          </w:p>
        </w:tc>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Порядок совпал</w:t>
            </w:r>
          </w:p>
        </w:tc>
        <w:tc>
          <w:tcPr>
            <w:tcW w:type="dxa" w:w="3118"/>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Поэлементное сравнение с qsort</w:t>
            </w:r>
          </w:p>
        </w:tc>
        <w:tc>
          <w:tcPr>
            <w:tcW w:type="dxa" w:w="10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center"/>
            </w:pPr>
            <w:r>
              <w:rPr>
                <w:rFonts w:ascii="Times New Roman" w:hAnsi="Times New Roman"/>
                <w:b w:val="0"/>
                <w:color w:val="000000"/>
                <w:sz w:val="21"/>
              </w:rPr>
              <w:t>0 на этих входах</w:t>
            </w:r>
          </w:p>
        </w:tc>
      </w:tr>
    </w:tbl>
    <w:p>
      <w:pPr>
        <w:widowControl/>
        <w:spacing w:after="20"/>
      </w:pPr>
    </w:p>
    <w:p>
      <w:pPr>
        <w:widowControl/>
        <w:jc w:val="both"/>
      </w:pPr>
      <w:r>
        <w:t>Во время эксперимента каждый из девяти итоговых вариантов прошёл по 28 936 утверждений в каждом из двух вариантов сборки A/C. При проверке 24 октября добавлены ещё 10 500 утверждений: удержание каждого публичного интерфейса после освобождения исходного, внешний управляющий объект, два независимых экземпляра и отсутствие необязательного расширения шины памяти. 25 октября после объединения репозиториев все 18 сочетаний повторно прошли исходный и расширенный наборы: по 39 436 утверждений, без ошибок UBSan.</w:t>
      </w:r>
    </w:p>
    <w:p>
      <w:pPr>
        <w:widowControl/>
        <w:jc w:val="both"/>
      </w:pPr>
      <w:r>
        <w:t>В конце проверочного клиента не осталось живых выделений; счётчики ссылок окружения и аллокатора вернулись к исходному значению 1. Это число утверждений, включая сравнения элементов, а не число различных сценариев. Дополнительный аудит проведён после эксперимента и не включён в историческое время получения решений.</w:t>
      </w:r>
    </w:p>
    <w:p>
      <w:pPr>
        <w:widowControl/>
        <w:jc w:val="both"/>
      </w:pPr>
      <w:r>
        <w:t>Перед генерацией были проверены сборка общих объявлений и промежуточный Lab65. Незавершённый шаблон закономерно не прошёл полный набор. Полная проверка поведения Lab2 началась после его генерации. Это ограничение исходной методики: поздний успешный аудит не заменяет отсутствовавшую раннюю проверку полного объекта.</w:t>
      </w:r>
    </w:p>
    <w:p>
      <w:pPr>
        <w:pStyle w:val="Heading1"/>
        <w:widowControl/>
      </w:pPr>
      <w:bookmarkStart w:id="5" w:name="arpo_section_5"/>
      <w:r>
        <w:t>5 Как сравнивались запросы к модели</w:t>
      </w:r>
      <w:bookmarkEnd w:id="5"/>
    </w:p>
    <w:p>
      <w:pPr>
        <w:widowControl/>
        <w:jc w:val="both"/>
      </w:pPr>
      <w:r>
        <w:t>Сравнивались три способа постановки одной задачи. Краткий запрос называет работу, контракт и ограничения. Подробный запрос оформлен как техническое задание по структуре ГОСТ 19.201-78. Третий вариант содержит тот же подробный текст, но без названия ТЗ и разделов ГОСТ: он нужен, чтобы отдельно оценить роль оформления.</w:t>
      </w:r>
    </w:p>
    <w:p>
      <w:pPr>
        <w:widowControl/>
        <w:jc w:val="both"/>
      </w:pPr>
      <w:r>
        <w:t>Два подробных запроса содержат одинаковые 19 содержательных абзацев в том же порядке. Различаются заголовки и оформление. На первом обращении, вместе с общими файлами, краткий запрос занял 12 252 входных токена, ТЗ — 15 515, обычный подробный текст — 15 293. Токен — единица текста, которую учитывает модель. Заголовки ТЗ добавили 222 токена.</w:t>
      </w:r>
    </w:p>
    <w:tbl>
      <w:tblPr>
        <w:tblW w:type="auto" w:w="0"/>
        <w:jc w:val="center"/>
        <w:tblLayout w:type="fixed"/>
        <w:tblLook w:firstColumn="1" w:firstRow="1" w:lastColumn="0" w:lastRow="0" w:noHBand="0" w:noVBand="1" w:val="04A0"/>
      </w:tblPr>
      <w:tblGrid>
        <w:gridCol w:w="2835"/>
        <w:gridCol w:w="6520"/>
      </w:tblGrid>
      <w:tr>
        <w:trPr>
          <w:cantSplit/>
          <w:tblHeader/>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Раздел технического задания</w:t>
            </w:r>
          </w:p>
        </w:tc>
        <w:tc>
          <w:tcPr>
            <w:tcW w:type="dxa" w:w="6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Что в него включено</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Введение</w:t>
            </w:r>
          </w:p>
        </w:tc>
        <w:tc>
          <w:tcPr>
            <w:tcW w:type="dxa" w:w="6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Расширение сортировки и создание Eco.Lab2</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Основания для разработки</w:t>
            </w:r>
          </w:p>
        </w:tc>
        <w:tc>
          <w:tcPr>
            <w:tcW w:type="dxa" w:w="6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Задание 2 и лекция 04</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Назначение</w:t>
            </w:r>
          </w:p>
        </w:tc>
        <w:tc>
          <w:tcPr>
            <w:tcW w:type="dxa" w:w="6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Повторное использование компонентов через включение и агрегирование</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Требования к программе</w:t>
            </w:r>
          </w:p>
        </w:tc>
        <w:tc>
          <w:tcPr>
            <w:tcW w:type="dxa" w:w="6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Интерфейсы, ссылки, создание, ошибки, память и C89</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Программная документация</w:t>
            </w:r>
          </w:p>
        </w:tc>
        <w:tc>
          <w:tcPr>
            <w:tcW w:type="dxa" w:w="6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Понятные комментарии; отчёт готовит организатор</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Технико экономические показатели</w:t>
            </w:r>
          </w:p>
        </w:tc>
        <w:tc>
          <w:tcPr>
            <w:tcW w:type="dxa" w:w="6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Измерение токенов, запросов и времени</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Стадии разработки</w:t>
            </w:r>
          </w:p>
        </w:tc>
        <w:tc>
          <w:tcPr>
            <w:tcW w:type="dxa" w:w="6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Поэтапное выполнение и исправление выявленных ошибок</w:t>
            </w:r>
          </w:p>
        </w:tc>
      </w:tr>
      <w:tr>
        <w:trPr>
          <w:cantSplit/>
        </w:trPr>
        <w:tc>
          <w:tcPr>
            <w:tcW w:type="dxa" w:w="2835"/>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Контроль и приёмка</w:t>
            </w:r>
          </w:p>
        </w:tc>
        <w:tc>
          <w:tcPr>
            <w:tcW w:type="dxa" w:w="652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Одинаковые независимые проверки для всех вариантов</w:t>
            </w:r>
          </w:p>
        </w:tc>
      </w:tr>
    </w:tbl>
    <w:p>
      <w:pPr>
        <w:widowControl/>
        <w:spacing w:after="20"/>
      </w:pPr>
    </w:p>
    <w:p>
      <w:pPr>
        <w:widowControl/>
        <w:jc w:val="both"/>
      </w:pPr>
      <w:r>
        <w:t>ГОСТ использован как способ упорядочить требования учебного запроса. Официальное согласование и утверждение ТЗ не проводились. Экономический раздел приспособлен к лабораторной: вместо расчёта внедрения учитываются ресурсы получения решения. Статус стандарта был проверен по карточке Росстандарта 21 октября 2026 года.</w:t>
      </w:r>
    </w:p>
    <w:p>
      <w:pPr>
        <w:widowControl/>
        <w:jc w:val="both"/>
      </w:pPr>
      <w:r>
        <w:t>Для каждого способа выполнены три независимых повтора. В каждой тройке использовалось одно начальное число генератора: 42, 43 или 44. Порядок менялся: краткий → ТЗ → обычный; ТЗ → обычный → краткий; обычный → краткий → ТЗ. Каждый запуск получал одинаковый незавершённый шаблон. Готовый код между вариантами не переносился, кэш запросов был отключён.</w:t>
      </w:r>
    </w:p>
    <w:p>
      <w:pPr>
        <w:widowControl/>
        <w:jc w:val="both"/>
      </w:pPr>
      <w:r>
        <w:t>Сначала всем вариантам разрешался один ответ. Если он не проходил проверку, продолжалась та же попытка: модели передавалась диагностика и уточнение. Неудачные ответы, промежуточные этапы и все продолжения оставались в учёте. Поэтому отдельно рассмотрены первый ответ и полный путь до проверенного решения.</w:t>
      </w:r>
    </w:p>
    <w:p>
      <w:pPr>
        <w:widowControl/>
        <w:jc w:val="both"/>
      </w:pPr>
      <w:r>
        <w:t>Все тексты запросов, ответы, уточнения и журналы сохранены. Точные параметры модели и границы измерений приведены в приложении 1. Реализации писала локальная Qwen2.5-Coder-14B-Instruct-4bit через MLX и обёртку ARPO; отчёт и анализ подготовлены организатором.</w:t>
      </w:r>
    </w:p>
    <w:p>
      <w:pPr>
        <w:pStyle w:val="Heading1"/>
        <w:widowControl/>
      </w:pPr>
      <w:bookmarkStart w:id="6" w:name="arpo_section_6"/>
      <w:r>
        <w:t>6 Что получилось у модели</w:t>
      </w:r>
      <w:bookmarkEnd w:id="6"/>
    </w:p>
    <w:p>
      <w:pPr>
        <w:pStyle w:val="Heading2"/>
        <w:widowControl/>
      </w:pPr>
      <w:r>
        <w:t>Первый ответ</w:t>
      </w:r>
    </w:p>
    <w:tbl>
      <w:tblPr>
        <w:tblW w:type="auto" w:w="0"/>
        <w:jc w:val="center"/>
        <w:tblLayout w:type="fixed"/>
        <w:tblLook w:firstColumn="1" w:firstRow="1" w:lastColumn="0" w:lastRow="0" w:noHBand="0" w:noVBand="1" w:val="04A0"/>
      </w:tblPr>
      <w:tblGrid>
        <w:gridCol w:w="2551"/>
        <w:gridCol w:w="1134"/>
        <w:gridCol w:w="1871"/>
        <w:gridCol w:w="1871"/>
        <w:gridCol w:w="1928"/>
      </w:tblGrid>
      <w:tr>
        <w:trPr>
          <w:cantSplit/>
          <w:tblHeader/>
        </w:trPr>
        <w:tc>
          <w:tcPr>
            <w:tcW w:type="dxa" w:w="255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keepNext/>
              <w:spacing w:after="20" w:before="20" w:line="252" w:lineRule="auto"/>
              <w:jc w:val="left"/>
            </w:pPr>
            <w:r>
              <w:rPr>
                <w:rFonts w:ascii="Times New Roman" w:hAnsi="Times New Roman"/>
                <w:b/>
                <w:color w:val="000000"/>
                <w:sz w:val="21"/>
              </w:rPr>
              <w:t>Запрос</w:t>
            </w:r>
          </w:p>
        </w:tc>
        <w:tc>
          <w:tcPr>
            <w:tcW w:type="dxa" w:w="113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keepNext/>
              <w:spacing w:after="20" w:before="20" w:line="252" w:lineRule="auto"/>
              <w:jc w:val="center"/>
            </w:pPr>
            <w:r>
              <w:rPr>
                <w:rFonts w:ascii="Times New Roman" w:hAnsi="Times New Roman"/>
                <w:b/>
                <w:color w:val="000000"/>
                <w:sz w:val="21"/>
              </w:rPr>
              <w:t>Итог</w:t>
            </w:r>
          </w:p>
        </w:tc>
        <w:tc>
          <w:tcPr>
            <w:tcW w:type="dxa" w:w="187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keepNext/>
              <w:spacing w:after="20" w:before="20" w:line="252" w:lineRule="auto"/>
              <w:jc w:val="center"/>
            </w:pPr>
            <w:r>
              <w:rPr>
                <w:rFonts w:ascii="Times New Roman" w:hAnsi="Times New Roman"/>
                <w:b/>
                <w:color w:val="000000"/>
                <w:sz w:val="21"/>
              </w:rPr>
              <w:t>Входные токены</w:t>
            </w:r>
          </w:p>
        </w:tc>
        <w:tc>
          <w:tcPr>
            <w:tcW w:type="dxa" w:w="187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keepNext/>
              <w:spacing w:after="20" w:before="20" w:line="252" w:lineRule="auto"/>
              <w:jc w:val="center"/>
            </w:pPr>
            <w:r>
              <w:rPr>
                <w:rFonts w:ascii="Times New Roman" w:hAnsi="Times New Roman"/>
                <w:b/>
                <w:color w:val="000000"/>
                <w:sz w:val="21"/>
              </w:rPr>
              <w:t>Выходные токены</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keepNext/>
              <w:spacing w:after="20" w:before="20" w:line="252" w:lineRule="auto"/>
              <w:jc w:val="center"/>
            </w:pPr>
            <w:r>
              <w:rPr>
                <w:rFonts w:ascii="Times New Roman" w:hAnsi="Times New Roman"/>
                <w:b/>
                <w:color w:val="000000"/>
                <w:sz w:val="21"/>
              </w:rPr>
              <w:t>Время с</w:t>
            </w:r>
          </w:p>
        </w:tc>
      </w:tr>
      <w:tr>
        <w:trPr>
          <w:cantSplit/>
        </w:trPr>
        <w:tc>
          <w:tcPr>
            <w:tcW w:type="dxa" w:w="255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left"/>
            </w:pPr>
            <w:r>
              <w:rPr>
                <w:rFonts w:ascii="Times New Roman" w:hAnsi="Times New Roman"/>
                <w:b w:val="0"/>
                <w:color w:val="000000"/>
                <w:sz w:val="21"/>
              </w:rPr>
              <w:t>Краткий</w:t>
            </w:r>
          </w:p>
        </w:tc>
        <w:tc>
          <w:tcPr>
            <w:tcW w:type="dxa" w:w="113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0 из 3</w:t>
            </w:r>
          </w:p>
        </w:tc>
        <w:tc>
          <w:tcPr>
            <w:tcW w:type="dxa" w:w="187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12 252</w:t>
            </w:r>
          </w:p>
        </w:tc>
        <w:tc>
          <w:tcPr>
            <w:tcW w:type="dxa" w:w="187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2 199</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200.77</w:t>
            </w:r>
          </w:p>
        </w:tc>
      </w:tr>
      <w:tr>
        <w:trPr>
          <w:cantSplit/>
        </w:trPr>
        <w:tc>
          <w:tcPr>
            <w:tcW w:type="dxa" w:w="255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left"/>
            </w:pPr>
            <w:r>
              <w:rPr>
                <w:rFonts w:ascii="Times New Roman" w:hAnsi="Times New Roman"/>
                <w:b w:val="0"/>
                <w:color w:val="000000"/>
                <w:sz w:val="21"/>
              </w:rPr>
              <w:t>ТЗ по ГОСТ</w:t>
            </w:r>
          </w:p>
        </w:tc>
        <w:tc>
          <w:tcPr>
            <w:tcW w:type="dxa" w:w="113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0 из 3</w:t>
            </w:r>
          </w:p>
        </w:tc>
        <w:tc>
          <w:tcPr>
            <w:tcW w:type="dxa" w:w="187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15 515</w:t>
            </w:r>
          </w:p>
        </w:tc>
        <w:tc>
          <w:tcPr>
            <w:tcW w:type="dxa" w:w="187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2 413</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238.02</w:t>
            </w:r>
          </w:p>
        </w:tc>
      </w:tr>
      <w:tr>
        <w:trPr>
          <w:cantSplit/>
        </w:trPr>
        <w:tc>
          <w:tcPr>
            <w:tcW w:type="dxa" w:w="255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val="0"/>
              <w:spacing w:after="20" w:before="20" w:line="252" w:lineRule="auto"/>
              <w:jc w:val="left"/>
            </w:pPr>
            <w:r>
              <w:rPr>
                <w:rFonts w:ascii="Times New Roman" w:hAnsi="Times New Roman"/>
                <w:b w:val="0"/>
                <w:color w:val="000000"/>
                <w:sz w:val="21"/>
              </w:rPr>
              <w:t>Подробный без ТЗ</w:t>
            </w:r>
          </w:p>
        </w:tc>
        <w:tc>
          <w:tcPr>
            <w:tcW w:type="dxa" w:w="113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val="0"/>
              <w:spacing w:after="20" w:before="20" w:line="252" w:lineRule="auto"/>
              <w:jc w:val="center"/>
            </w:pPr>
            <w:r>
              <w:rPr>
                <w:rFonts w:ascii="Times New Roman" w:hAnsi="Times New Roman"/>
                <w:b w:val="0"/>
                <w:color w:val="000000"/>
                <w:sz w:val="21"/>
              </w:rPr>
              <w:t>0 из 3</w:t>
            </w:r>
          </w:p>
        </w:tc>
        <w:tc>
          <w:tcPr>
            <w:tcW w:type="dxa" w:w="187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val="0"/>
              <w:spacing w:after="20" w:before="20" w:line="252" w:lineRule="auto"/>
              <w:jc w:val="center"/>
            </w:pPr>
            <w:r>
              <w:rPr>
                <w:rFonts w:ascii="Times New Roman" w:hAnsi="Times New Roman"/>
                <w:b w:val="0"/>
                <w:color w:val="000000"/>
                <w:sz w:val="21"/>
              </w:rPr>
              <w:t>15 293</w:t>
            </w:r>
          </w:p>
        </w:tc>
        <w:tc>
          <w:tcPr>
            <w:tcW w:type="dxa" w:w="187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val="0"/>
              <w:spacing w:after="20" w:before="20" w:line="252" w:lineRule="auto"/>
              <w:jc w:val="center"/>
            </w:pPr>
            <w:r>
              <w:rPr>
                <w:rFonts w:ascii="Times New Roman" w:hAnsi="Times New Roman"/>
                <w:b w:val="0"/>
                <w:color w:val="000000"/>
                <w:sz w:val="21"/>
              </w:rPr>
              <w:t>2 877</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val="0"/>
              <w:spacing w:after="20" w:before="20" w:line="252" w:lineRule="auto"/>
              <w:jc w:val="center"/>
            </w:pPr>
            <w:r>
              <w:rPr>
                <w:rFonts w:ascii="Times New Roman" w:hAnsi="Times New Roman"/>
                <w:b w:val="0"/>
                <w:color w:val="000000"/>
                <w:sz w:val="21"/>
              </w:rPr>
              <w:t>263.05</w:t>
            </w:r>
          </w:p>
        </w:tc>
      </w:tr>
    </w:tbl>
    <w:p>
      <w:pPr>
        <w:widowControl/>
        <w:spacing w:after="20"/>
      </w:pPr>
    </w:p>
    <w:p>
      <w:pPr>
        <w:widowControl/>
        <w:jc w:val="both"/>
      </w:pPr>
      <w:r>
        <w:t>В таблице приведены медианы трёх повторов, то есть средние по порядку значения. Все девять первых ответов остановились на сборке C89: встречались несуществующие имена типов SDK, подключение Markdown как заголовка, пояснения внутри исходника и комментарии C99. До проверки поведения ACOM они не дошли.</w:t>
      </w:r>
    </w:p>
    <w:p>
      <w:pPr>
        <w:widowControl/>
        <w:jc w:val="both"/>
      </w:pPr>
      <w:r>
        <w:t>Ответы завершились обычным сигналом остановки сервера и содержали от 2 180 до 3 074 выходных токенов при лимите 12 288. Признаков обрезания по этому лимиту не было. По первым ответам ни один способ не дал готовой программы.</w:t>
      </w:r>
    </w:p>
    <w:p>
      <w:pPr>
        <w:pStyle w:val="Heading2"/>
        <w:widowControl/>
      </w:pPr>
      <w:r>
        <w:t>Результат после исправлений</w:t>
      </w:r>
    </w:p>
    <w:tbl>
      <w:tblPr>
        <w:tblW w:type="auto" w:w="0"/>
        <w:jc w:val="center"/>
        <w:tblLayout w:type="fixed"/>
        <w:tblLook w:firstColumn="1" w:firstRow="1" w:lastColumn="0" w:lastRow="0" w:noHBand="0" w:noVBand="1" w:val="04A0"/>
      </w:tblPr>
      <w:tblGrid>
        <w:gridCol w:w="2551"/>
        <w:gridCol w:w="1020"/>
        <w:gridCol w:w="1984"/>
        <w:gridCol w:w="1587"/>
        <w:gridCol w:w="2211"/>
      </w:tblGrid>
      <w:tr>
        <w:trPr>
          <w:cantSplit/>
          <w:tblHeader/>
        </w:trPr>
        <w:tc>
          <w:tcPr>
            <w:tcW w:type="dxa" w:w="255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keepNext/>
              <w:spacing w:after="20" w:before="20" w:line="252" w:lineRule="auto"/>
              <w:jc w:val="left"/>
            </w:pPr>
            <w:r>
              <w:rPr>
                <w:rFonts w:ascii="Times New Roman" w:hAnsi="Times New Roman"/>
                <w:b/>
                <w:color w:val="000000"/>
                <w:sz w:val="21"/>
              </w:rPr>
              <w:t>Запрос</w:t>
            </w:r>
          </w:p>
        </w:tc>
        <w:tc>
          <w:tcPr>
            <w:tcW w:type="dxa" w:w="10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keepNext/>
              <w:spacing w:after="20" w:before="20" w:line="252" w:lineRule="auto"/>
              <w:jc w:val="center"/>
            </w:pPr>
            <w:r>
              <w:rPr>
                <w:rFonts w:ascii="Times New Roman" w:hAnsi="Times New Roman"/>
                <w:b/>
                <w:color w:val="000000"/>
                <w:sz w:val="21"/>
              </w:rPr>
              <w:t>Итог</w:t>
            </w:r>
          </w:p>
        </w:tc>
        <w:tc>
          <w:tcPr>
            <w:tcW w:type="dxa" w:w="19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keepNext/>
              <w:spacing w:after="20" w:before="20" w:line="252" w:lineRule="auto"/>
              <w:jc w:val="center"/>
            </w:pPr>
            <w:r>
              <w:rPr>
                <w:rFonts w:ascii="Times New Roman" w:hAnsi="Times New Roman"/>
                <w:b/>
                <w:color w:val="000000"/>
                <w:sz w:val="21"/>
              </w:rPr>
              <w:t>Всего токенов</w:t>
            </w:r>
          </w:p>
        </w:tc>
        <w:tc>
          <w:tcPr>
            <w:tcW w:type="dxa" w:w="158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keepNext/>
              <w:spacing w:after="20" w:before="20" w:line="252" w:lineRule="auto"/>
              <w:jc w:val="center"/>
            </w:pPr>
            <w:r>
              <w:rPr>
                <w:rFonts w:ascii="Times New Roman" w:hAnsi="Times New Roman"/>
                <w:b/>
                <w:color w:val="000000"/>
                <w:sz w:val="21"/>
              </w:rPr>
              <w:t>Обращения к модели</w:t>
            </w:r>
          </w:p>
        </w:tc>
        <w:tc>
          <w:tcPr>
            <w:tcW w:type="dxa" w:w="221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keepNext/>
              <w:spacing w:after="20" w:before="20" w:line="252" w:lineRule="auto"/>
              <w:jc w:val="center"/>
            </w:pPr>
            <w:r>
              <w:rPr>
                <w:rFonts w:ascii="Times New Roman" w:hAnsi="Times New Roman"/>
                <w:b/>
                <w:color w:val="000000"/>
                <w:sz w:val="21"/>
              </w:rPr>
              <w:t>Время мин</w:t>
            </w:r>
          </w:p>
        </w:tc>
      </w:tr>
      <w:tr>
        <w:trPr>
          <w:cantSplit/>
        </w:trPr>
        <w:tc>
          <w:tcPr>
            <w:tcW w:type="dxa" w:w="255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left"/>
            </w:pPr>
            <w:r>
              <w:rPr>
                <w:rFonts w:ascii="Times New Roman" w:hAnsi="Times New Roman"/>
                <w:b w:val="0"/>
                <w:color w:val="000000"/>
                <w:sz w:val="21"/>
              </w:rPr>
              <w:t>Краткий</w:t>
            </w:r>
          </w:p>
        </w:tc>
        <w:tc>
          <w:tcPr>
            <w:tcW w:type="dxa" w:w="10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3 из 3</w:t>
            </w:r>
          </w:p>
        </w:tc>
        <w:tc>
          <w:tcPr>
            <w:tcW w:type="dxa" w:w="19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 237 721</w:t>
            </w:r>
          </w:p>
        </w:tc>
        <w:tc>
          <w:tcPr>
            <w:tcW w:type="dxa" w:w="158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15</w:t>
            </w:r>
          </w:p>
        </w:tc>
        <w:tc>
          <w:tcPr>
            <w:tcW w:type="dxa" w:w="221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82.46</w:t>
            </w:r>
          </w:p>
        </w:tc>
      </w:tr>
      <w:tr>
        <w:trPr>
          <w:cantSplit/>
        </w:trPr>
        <w:tc>
          <w:tcPr>
            <w:tcW w:type="dxa" w:w="255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left"/>
            </w:pPr>
            <w:r>
              <w:rPr>
                <w:rFonts w:ascii="Times New Roman" w:hAnsi="Times New Roman"/>
                <w:b w:val="0"/>
                <w:color w:val="000000"/>
                <w:sz w:val="21"/>
              </w:rPr>
              <w:t>ТЗ по ГОСТ</w:t>
            </w:r>
          </w:p>
        </w:tc>
        <w:tc>
          <w:tcPr>
            <w:tcW w:type="dxa" w:w="10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3 из 3</w:t>
            </w:r>
          </w:p>
        </w:tc>
        <w:tc>
          <w:tcPr>
            <w:tcW w:type="dxa" w:w="19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263 723</w:t>
            </w:r>
          </w:p>
        </w:tc>
        <w:tc>
          <w:tcPr>
            <w:tcW w:type="dxa" w:w="158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15</w:t>
            </w:r>
          </w:p>
        </w:tc>
        <w:tc>
          <w:tcPr>
            <w:tcW w:type="dxa" w:w="221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76.36</w:t>
            </w:r>
          </w:p>
        </w:tc>
      </w:tr>
      <w:tr>
        <w:trPr>
          <w:cantSplit/>
        </w:trPr>
        <w:tc>
          <w:tcPr>
            <w:tcW w:type="dxa" w:w="255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val="0"/>
              <w:spacing w:after="20" w:before="20" w:line="252" w:lineRule="auto"/>
              <w:jc w:val="left"/>
            </w:pPr>
            <w:r>
              <w:rPr>
                <w:rFonts w:ascii="Times New Roman" w:hAnsi="Times New Roman"/>
                <w:b w:val="0"/>
                <w:color w:val="000000"/>
                <w:sz w:val="21"/>
              </w:rPr>
              <w:t>Подробный без ТЗ</w:t>
            </w:r>
          </w:p>
        </w:tc>
        <w:tc>
          <w:tcPr>
            <w:tcW w:type="dxa" w:w="10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val="0"/>
              <w:spacing w:after="20" w:before="20" w:line="252" w:lineRule="auto"/>
              <w:jc w:val="center"/>
            </w:pPr>
            <w:r>
              <w:rPr>
                <w:rFonts w:ascii="Times New Roman" w:hAnsi="Times New Roman"/>
                <w:b w:val="0"/>
                <w:color w:val="000000"/>
                <w:sz w:val="21"/>
              </w:rPr>
              <w:t>3 из 3</w:t>
            </w:r>
          </w:p>
        </w:tc>
        <w:tc>
          <w:tcPr>
            <w:tcW w:type="dxa" w:w="198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val="0"/>
              <w:spacing w:after="20" w:before="20" w:line="252" w:lineRule="auto"/>
              <w:jc w:val="center"/>
            </w:pPr>
            <w:r>
              <w:rPr>
                <w:rFonts w:ascii="Times New Roman" w:hAnsi="Times New Roman"/>
                <w:b w:val="0"/>
                <w:color w:val="000000"/>
                <w:sz w:val="21"/>
              </w:rPr>
              <w:t>≥ 275 732</w:t>
            </w:r>
          </w:p>
        </w:tc>
        <w:tc>
          <w:tcPr>
            <w:tcW w:type="dxa" w:w="158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val="0"/>
              <w:spacing w:after="20" w:before="20" w:line="252" w:lineRule="auto"/>
              <w:jc w:val="center"/>
            </w:pPr>
            <w:r>
              <w:rPr>
                <w:rFonts w:ascii="Times New Roman" w:hAnsi="Times New Roman"/>
                <w:b w:val="0"/>
                <w:color w:val="000000"/>
                <w:sz w:val="21"/>
              </w:rPr>
              <w:t>≥ 16</w:t>
            </w:r>
          </w:p>
        </w:tc>
        <w:tc>
          <w:tcPr>
            <w:tcW w:type="dxa" w:w="221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val="0"/>
              <w:spacing w:after="20" w:before="20" w:line="252" w:lineRule="auto"/>
              <w:jc w:val="center"/>
            </w:pPr>
            <w:r>
              <w:rPr>
                <w:rFonts w:ascii="Times New Roman" w:hAnsi="Times New Roman"/>
                <w:b w:val="0"/>
                <w:color w:val="000000"/>
                <w:sz w:val="21"/>
              </w:rPr>
              <w:t>≥ 87.96</w:t>
            </w:r>
          </w:p>
        </w:tc>
      </w:tr>
    </w:tbl>
    <w:p>
      <w:pPr>
        <w:widowControl/>
        <w:spacing w:after="20"/>
      </w:pPr>
    </w:p>
    <w:p>
      <w:pPr>
        <w:widowControl/>
        <w:jc w:val="both"/>
      </w:pPr>
      <w:r>
        <w:t>Здесь также показаны медианы трёх повторов, но уже с учётом всех неудач и продолжений. Знак ≥ означает «не менее»: часть данных была потеряна при прерывании обращения. В этой серии ТЗ по ГОСТ потребовало меньше времени по медиане — 76,36 минуты. Краткий запрос потребовал меньше известных токенов по медиане. Лучший результат по одному показателю не означает преимущество по всем показателям.</w:t>
      </w:r>
    </w:p>
    <w:p>
      <w:pPr>
        <w:keepNext/>
        <w:widowControl/>
      </w:pPr>
      <w:r>
        <w:drawing>
          <wp:inline xmlns:a="http://schemas.openxmlformats.org/drawingml/2006/main" xmlns:pic="http://schemas.openxmlformats.org/drawingml/2006/picture">
            <wp:extent cx="5796000" cy="3477600"/>
            <wp:docPr id="2" name="Picture 2" descr="Медианы времени с исправлениями: краткий 82,46 минуты, ТЗ 76,36, обычный подробный не менее 87,96."/>
            <wp:cNvGraphicFramePr>
              <a:graphicFrameLocks noChangeAspect="1"/>
            </wp:cNvGraphicFramePr>
            <a:graphic>
              <a:graphicData uri="http://schemas.openxmlformats.org/drawingml/2006/picture">
                <pic:pic>
                  <pic:nvPicPr>
                    <pic:cNvPr id="0" name="generation-time.png"/>
                    <pic:cNvPicPr/>
                  </pic:nvPicPr>
                  <pic:blipFill>
                    <a:blip r:embed="rId14"/>
                    <a:stretch>
                      <a:fillRect/>
                    </a:stretch>
                  </pic:blipFill>
                  <pic:spPr>
                    <a:xfrm>
                      <a:off x="0" y="0"/>
                      <a:ext cx="5796000" cy="3477600"/>
                    </a:xfrm>
                    <a:prstGeom prst="rect"/>
                  </pic:spPr>
                </pic:pic>
              </a:graphicData>
            </a:graphic>
          </wp:inline>
        </w:drawing>
      </w:r>
    </w:p>
    <w:p>
      <w:pPr>
        <w:widowControl/>
        <w:jc w:val="both"/>
      </w:pPr>
      <w:r>
        <w:t>Рисунок 2 Время получения проверенного решения с учётом исправлений</w:t>
      </w:r>
    </w:p>
    <w:p>
      <w:pPr>
        <w:widowControl/>
        <w:jc w:val="both"/>
      </w:pPr>
      <w:r>
        <w:t>Подробная таблица расходов каждого из девяти повторов находится в приложении 1.</w:t>
      </w:r>
    </w:p>
    <w:p>
      <w:pPr>
        <w:widowControl/>
        <w:jc w:val="both"/>
      </w:pPr>
      <w:r>
        <w:t>Полные значения в секундах находятся в generation-measurements.csv. «Уточнения» — число сохранённых продолжений организатора с новыми указаниями модели. Это не число дополнительных ответов пользователя. Время включает работу обёртки и автоматические проверки, а также отдельно записанную прямую диагностику. Чтение кода, подготовка уточнений и написание отчёта этим таймером не измерялись.</w:t>
      </w:r>
    </w:p>
    <w:p>
      <w:pPr>
        <w:widowControl/>
        <w:jc w:val="both"/>
      </w:pPr>
      <w:r>
        <w:t>Три повтора на одном Mac и последующие разные уточнения не позволяют отделить влияние исходного запроса от помощи организатора. Поэтому результат говорит о ходе этой серии, а не доказывает, что оформление по ГОСТ всегда даёт более качественный код или экономит ресурсы.</w:t>
      </w:r>
    </w:p>
    <w:p>
      <w:pPr>
        <w:pStyle w:val="Heading1"/>
        <w:widowControl/>
      </w:pPr>
      <w:bookmarkStart w:id="7" w:name="arpo_section_7"/>
      <w:r>
        <w:t>7 Какие ошибки пришлось исправить</w:t>
      </w:r>
      <w:bookmarkEnd w:id="7"/>
    </w:p>
    <w:p>
      <w:pPr>
        <w:widowControl/>
        <w:jc w:val="both"/>
      </w:pPr>
      <w:r>
        <w:t>Самые существенные ошибки касались ACOM. Правильные ответы калькулятора ещё не означали правильных интерфейсов и ссылок. Например, первый обычный подробный вариант в ответе 10 имел независимое управление ссылками для X и Y Lab2. Проверки обнаружили по 79 нарушений в каждом варианте сборки. В другом запуске демонстрация уже работала, но UBSan остановил независимый тест на неверном смещении поля объекта.</w:t>
      </w:r>
    </w:p>
    <w:tbl>
      <w:tblPr>
        <w:tblW w:type="auto" w:w="0"/>
        <w:jc w:val="center"/>
        <w:tblLayout w:type="fixed"/>
        <w:tblLook w:firstColumn="1" w:firstRow="1" w:lastColumn="0" w:lastRow="0" w:noHBand="0" w:noVBand="1" w:val="04A0"/>
      </w:tblPr>
      <w:tblGrid>
        <w:gridCol w:w="1814"/>
        <w:gridCol w:w="7540"/>
      </w:tblGrid>
      <w:tr>
        <w:trPr>
          <w:cantSplit/>
          <w:tblHeader/>
        </w:trPr>
        <w:tc>
          <w:tcPr>
            <w:tcW w:type="dxa" w:w="181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Попытка</w:t>
            </w:r>
          </w:p>
        </w:tc>
        <w:tc>
          <w:tcPr>
            <w:tcW w:type="dxa" w:w="75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Основные исправления</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Краткий 1</w:t>
            </w:r>
          </w:p>
        </w:tc>
        <w:tc>
          <w:tcPr>
            <w:tcW w:type="dxa" w:w="75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Разделение работы на этапы, передача управляющих методов, очистка ресурсов; затем уточнены комментарии о владении</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ТЗ 1</w:t>
            </w:r>
          </w:p>
        </w:tc>
        <w:tc>
          <w:tcPr>
            <w:tcW w:type="dxa" w:w="75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Методы и создание объектов, правила владения; затем добавлены пояснения о ссылках</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1</w:t>
            </w:r>
          </w:p>
        </w:tc>
        <w:tc>
          <w:tcPr>
            <w:tcW w:type="dxa" w:w="75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Раздельные счётчики X/Y, потерянные обёртки и предварительные объявления; одна версия повторила прежнюю ошибку</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ТЗ 2</w:t>
            </w:r>
          </w:p>
        </w:tc>
        <w:tc>
          <w:tcPr>
            <w:tcW w:type="dxa" w:w="75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Лишняя начальная ссылка и риск двойного освобождения; затем единый Unknown и переход к Lab65</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2</w:t>
            </w:r>
          </w:p>
        </w:tc>
        <w:tc>
          <w:tcPr>
            <w:tcW w:type="dxa" w:w="75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Адрес поля указателя ошибочно принят за интерфейс; затем исправлен тип структуры при восстановлении владельца</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Краткий 2</w:t>
            </w:r>
          </w:p>
        </w:tc>
        <w:tc>
          <w:tcPr>
            <w:tcW w:type="dxa" w:w="75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Создание Lab65 и Lab2; после правки комментариев исправлен внесённый неверный тип в Release интерфейса Y</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Обычный 3</w:t>
            </w:r>
          </w:p>
        </w:tc>
        <w:tc>
          <w:tcPr>
            <w:tcW w:type="dxa" w:w="75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Очистка при отказах; затем единый Unknown, один E вместо двух и снятие лишней ссылки</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Краткий 3</w:t>
            </w:r>
          </w:p>
        </w:tc>
        <w:tc>
          <w:tcPr>
            <w:tcW w:type="dxa" w:w="75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Объявления методов, переходы и ссылки; добавлены два пропущенных освобождения. Неясное уточнение организатора также вошло в затраты</w:t>
            </w:r>
          </w:p>
        </w:tc>
      </w:tr>
      <w:tr>
        <w:trPr>
          <w:cantSplit/>
        </w:trPr>
        <w:tc>
          <w:tcPr>
            <w:tcW w:type="dxa" w:w="1814"/>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ТЗ 3</w:t>
            </w:r>
          </w:p>
        </w:tc>
        <w:tc>
          <w:tcPr>
            <w:tcW w:type="dxa" w:w="7540"/>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Единый Unknown для X/Y, переход к агрегированному Lab65 и тип управляющего указателя</w:t>
            </w:r>
          </w:p>
        </w:tc>
      </w:tr>
    </w:tbl>
    <w:p>
      <w:pPr>
        <w:widowControl/>
        <w:spacing w:after="20"/>
      </w:pPr>
    </w:p>
    <w:p>
      <w:pPr>
        <w:widowControl/>
        <w:jc w:val="both"/>
      </w:pPr>
      <w:r>
        <w:t>Соблюдение C89 проверялось отдельно. Модель несколько раз возвращала комментарии C99 или неверно размещала ECOCALLMETHOD. На этой платформе макрос пуст, поэтому такая ошибка объявления могла не мешать компиляции. Её всё равно исправляла модель в той же попытке. После функциональной проверки дополнительно читались исходники и комментарии о владении ресурсами.</w:t>
      </w:r>
    </w:p>
    <w:p>
      <w:pPr>
        <w:widowControl/>
        <w:jc w:val="both"/>
      </w:pPr>
      <w:r>
        <w:t>История не переписывалась ради успешного результата. В каждом повторе сохранены отклонённые версии, диагностика и уточнения. Некоторые промежуточные ответы намеренно содержали только Lab65: их отклонение полной проверкой не считалось отдельным готовым решением. Расходы этих этапов включены в общие суммы.</w:t>
      </w:r>
    </w:p>
    <w:p>
      <w:pPr>
        <w:pStyle w:val="Heading1"/>
        <w:widowControl/>
      </w:pPr>
      <w:bookmarkStart w:id="8" w:name="arpo_section_8"/>
      <w:r>
        <w:t>8 Скорость готовой программы</w:t>
      </w:r>
      <w:bookmarkEnd w:id="8"/>
    </w:p>
    <w:p>
      <w:pPr>
        <w:widowControl/>
        <w:jc w:val="both"/>
      </w:pPr>
      <w:r>
        <w:t>В задании № 2 нет отдельного требования выбирать образец для сравнения скорости. Для исследования использованы стандартная qsort при сортировке и прямой вызов компонента E при арифметике и запросах интерфейсов. Далее в таблицах явно указано, с чем сопоставлялся каждый результат.</w:t>
      </w:r>
    </w:p>
    <w:p>
      <w:pPr>
        <w:widowControl/>
        <w:jc w:val="both"/>
      </w:pPr>
      <w:r>
        <w:t>Измерения выполнены после остановки сервера MLX, со сборкой −O2 без UBSan. Использовался clock(): он считает процессорное время процесса. Каждое значение ниже — медиана 15 замеров: три реализации по пять повторов. Это сохранённые измерения эксперимента, а не повторные замеры при редактировании отчёта.</w:t>
      </w:r>
    </w:p>
    <w:p>
      <w:pPr>
        <w:pStyle w:val="Heading2"/>
        <w:widowControl/>
      </w:pPr>
      <w:r>
        <w:t>Сортировка и стандартная qsort</w:t>
      </w:r>
    </w:p>
    <w:p>
      <w:pPr>
        <w:widowControl/>
        <w:jc w:val="both"/>
      </w:pPr>
      <w:r>
        <w:t>Проверялся тип double при 128 блоках. Обе сортировки получали одинаковые копии массива; порядок их запуска чередовался. Результаты сравнивались поэлементно. Создание копий и проверка результата не включались во время сортировки. Начальное число генератора массива — 1 234 567; перед каждым повтором создавался тот же вход.</w:t>
      </w:r>
    </w:p>
    <w:tbl>
      <w:tblPr>
        <w:tblW w:type="auto" w:w="0"/>
        <w:jc w:val="center"/>
        <w:tblLayout w:type="fixed"/>
        <w:tblLook w:firstColumn="1" w:firstRow="1" w:lastColumn="0" w:lastRow="0" w:noHBand="0" w:noVBand="1" w:val="04A0"/>
      </w:tblPr>
      <w:tblGrid>
        <w:gridCol w:w="2381"/>
        <w:gridCol w:w="737"/>
        <w:gridCol w:w="2381"/>
        <w:gridCol w:w="1928"/>
        <w:gridCol w:w="1928"/>
      </w:tblGrid>
      <w:tr>
        <w:trPr>
          <w:cantSplit/>
          <w:tblHeader/>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spacing w:after="20" w:before="20" w:line="252" w:lineRule="auto"/>
              <w:jc w:val="left"/>
            </w:pPr>
            <w:r>
              <w:rPr>
                <w:rFonts w:ascii="Times New Roman" w:hAnsi="Times New Roman"/>
                <w:b/>
                <w:color w:val="000000"/>
                <w:sz w:val="21"/>
              </w:rPr>
              <w:t>Запрос</w:t>
            </w:r>
          </w:p>
        </w:tc>
        <w:tc>
          <w:tcPr>
            <w:tcW w:type="dxa" w:w="73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spacing w:after="20" w:before="20" w:line="252" w:lineRule="auto"/>
              <w:jc w:val="center"/>
            </w:pPr>
            <w:r>
              <w:rPr>
                <w:rFonts w:ascii="Times New Roman" w:hAnsi="Times New Roman"/>
                <w:b/>
                <w:color w:val="000000"/>
                <w:sz w:val="21"/>
              </w:rPr>
              <w:t>A/C</w:t>
            </w:r>
          </w:p>
        </w:tc>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spacing w:after="20" w:before="20" w:line="252" w:lineRule="auto"/>
              <w:jc w:val="center"/>
            </w:pPr>
            <w:r>
              <w:rPr>
                <w:rFonts w:ascii="Times New Roman" w:hAnsi="Times New Roman"/>
                <w:b/>
                <w:color w:val="000000"/>
                <w:sz w:val="21"/>
              </w:rPr>
              <w:t>Вход и длина</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spacing w:after="20" w:before="20" w:line="252" w:lineRule="auto"/>
              <w:jc w:val="center"/>
            </w:pPr>
            <w:r>
              <w:rPr>
                <w:rFonts w:ascii="Times New Roman" w:hAnsi="Times New Roman"/>
                <w:b/>
                <w:color w:val="000000"/>
                <w:sz w:val="21"/>
              </w:rPr>
              <w:t>Bucket sort мс</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spacing w:after="20" w:before="20" w:line="252" w:lineRule="auto"/>
              <w:jc w:val="center"/>
            </w:pPr>
            <w:r>
              <w:rPr>
                <w:rFonts w:ascii="Times New Roman" w:hAnsi="Times New Roman"/>
                <w:b/>
                <w:color w:val="000000"/>
                <w:sz w:val="21"/>
              </w:rPr>
              <w:t>qsort мс</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Краткий</w:t>
            </w:r>
          </w:p>
        </w:tc>
        <w:tc>
          <w:tcPr>
            <w:tcW w:type="dxa" w:w="73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A</w:t>
            </w:r>
          </w:p>
        </w:tc>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Равномерный</w:t>
              <w:br/>
              <w:t>50 000</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1.819</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3.089</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Краткий</w:t>
            </w:r>
          </w:p>
        </w:tc>
        <w:tc>
          <w:tcPr>
            <w:tcW w:type="dxa" w:w="73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A</w:t>
            </w:r>
          </w:p>
        </w:tc>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Обратный, 1 блок</w:t>
              <w:br/>
              <w:t>10 000</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12.430</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0.126</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Краткий</w:t>
            </w:r>
          </w:p>
        </w:tc>
        <w:tc>
          <w:tcPr>
            <w:tcW w:type="dxa" w:w="73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C</w:t>
            </w:r>
          </w:p>
        </w:tc>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Равномерный</w:t>
              <w:br/>
              <w:t>50 000</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2.834</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4.844</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Краткий</w:t>
            </w:r>
          </w:p>
        </w:tc>
        <w:tc>
          <w:tcPr>
            <w:tcW w:type="dxa" w:w="73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C</w:t>
            </w:r>
          </w:p>
        </w:tc>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Обратный, 1 блок</w:t>
              <w:br/>
              <w:t>10 000</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12.568</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0.152</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ТЗ по ГОСТ</w:t>
            </w:r>
          </w:p>
        </w:tc>
        <w:tc>
          <w:tcPr>
            <w:tcW w:type="dxa" w:w="73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A</w:t>
            </w:r>
          </w:p>
        </w:tc>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Равномерный</w:t>
              <w:br/>
              <w:t>50 000</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1.807</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3.169</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ТЗ по ГОСТ</w:t>
            </w:r>
          </w:p>
        </w:tc>
        <w:tc>
          <w:tcPr>
            <w:tcW w:type="dxa" w:w="73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A</w:t>
            </w:r>
          </w:p>
        </w:tc>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Обратный, 1 блок</w:t>
              <w:br/>
              <w:t>10 000</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12.446</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0.133</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ТЗ по ГОСТ</w:t>
            </w:r>
          </w:p>
        </w:tc>
        <w:tc>
          <w:tcPr>
            <w:tcW w:type="dxa" w:w="73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C</w:t>
            </w:r>
          </w:p>
        </w:tc>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Равномерный</w:t>
              <w:br/>
              <w:t>50 000</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2.776</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4.602</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ТЗ по ГОСТ</w:t>
            </w:r>
          </w:p>
        </w:tc>
        <w:tc>
          <w:tcPr>
            <w:tcW w:type="dxa" w:w="73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C</w:t>
            </w:r>
          </w:p>
        </w:tc>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Обратный, 1 блок</w:t>
              <w:br/>
              <w:t>10 000</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12.561</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0.139</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Подробный без ТЗ</w:t>
            </w:r>
          </w:p>
        </w:tc>
        <w:tc>
          <w:tcPr>
            <w:tcW w:type="dxa" w:w="73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A</w:t>
            </w:r>
          </w:p>
        </w:tc>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Равномерный</w:t>
              <w:br/>
              <w:t>50 000</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2.532</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4.428</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Подробный без ТЗ</w:t>
            </w:r>
          </w:p>
        </w:tc>
        <w:tc>
          <w:tcPr>
            <w:tcW w:type="dxa" w:w="73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A</w:t>
            </w:r>
          </w:p>
        </w:tc>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Обратный, 1 блок</w:t>
              <w:br/>
              <w:t>10 000</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12.218</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0.125</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Подробный без ТЗ</w:t>
            </w:r>
          </w:p>
        </w:tc>
        <w:tc>
          <w:tcPr>
            <w:tcW w:type="dxa" w:w="73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C</w:t>
            </w:r>
          </w:p>
        </w:tc>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Равномерный</w:t>
              <w:br/>
              <w:t>50 000</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2.788</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4.719</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Подробный без ТЗ</w:t>
            </w:r>
          </w:p>
        </w:tc>
        <w:tc>
          <w:tcPr>
            <w:tcW w:type="dxa" w:w="73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C</w:t>
            </w:r>
          </w:p>
        </w:tc>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Обратный, 1 блок</w:t>
              <w:br/>
              <w:t>10 000</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12.291</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0.126</w:t>
            </w:r>
          </w:p>
        </w:tc>
      </w:tr>
    </w:tbl>
    <w:p>
      <w:pPr>
        <w:widowControl/>
        <w:spacing w:after="20"/>
      </w:pPr>
    </w:p>
    <w:p>
      <w:pPr>
        <w:widowControl/>
        <w:jc w:val="both"/>
      </w:pPr>
      <w:r>
        <w:t>На равномерном массиве из 50 000 элементов Bucket sort в этих измерениях быстрее qsort примерно в 1,66–1,75 раза. На обратном массиве из 10 000 элементов, попавших в один блок, он медленнее примерно в 83–99 раз. Это согласуется с квадратичной стоимостью сортировки вставками внутри перегруженного блока.</w:t>
      </w:r>
    </w:p>
    <w:p>
      <w:pPr>
        <w:widowControl/>
        <w:jc w:val="both"/>
      </w:pPr>
      <w:r>
        <w:t>Численный файл во всех вариантах один и тот же. Поэтому таблица характеризует унаследованную сортировку и её подключение к Lab2; она не показывает, что один запрос породил более быстрый алгоритм. Полные 36 строк и 540 отдельных замеров сортировки сохранены в CSV.</w:t>
      </w:r>
    </w:p>
    <w:p>
      <w:pPr>
        <w:pStyle w:val="Heading2"/>
        <w:widowControl/>
      </w:pPr>
      <w:r>
        <w:t>Арифметика и запрос интерфейса</w:t>
      </w:r>
    </w:p>
    <w:p>
      <w:pPr>
        <w:widowControl/>
        <w:jc w:val="both"/>
      </w:pPr>
      <w:r>
        <w:t>Для сравнения напрямую вызывались X и Y компонента E. Сам E уже агрегирует B. Он выбран потому, что предоставляет оба интерфейса для четырёх операций; у B есть только X. Другие маршруты — Lab65 с включением калькуляторов и Lab2, который передаёт арифметику одному E.</w:t>
      </w:r>
    </w:p>
    <w:tbl>
      <w:tblPr>
        <w:tblW w:type="auto" w:w="0"/>
        <w:jc w:val="center"/>
        <w:tblLayout w:type="fixed"/>
        <w:tblLook w:firstColumn="1" w:firstRow="1" w:lastColumn="0" w:lastRow="0" w:noHBand="0" w:noVBand="1" w:val="04A0"/>
      </w:tblPr>
      <w:tblGrid>
        <w:gridCol w:w="2381"/>
        <w:gridCol w:w="680"/>
        <w:gridCol w:w="1928"/>
        <w:gridCol w:w="1928"/>
        <w:gridCol w:w="2438"/>
      </w:tblGrid>
      <w:tr>
        <w:trPr>
          <w:cantSplit/>
          <w:tblHeader/>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spacing w:after="20" w:before="20" w:line="252" w:lineRule="auto"/>
              <w:jc w:val="left"/>
            </w:pPr>
            <w:r>
              <w:rPr>
                <w:rFonts w:ascii="Times New Roman" w:hAnsi="Times New Roman"/>
                <w:b/>
                <w:color w:val="000000"/>
                <w:sz w:val="21"/>
              </w:rPr>
              <w:t>Запрос</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spacing w:after="20" w:before="20" w:line="252" w:lineRule="auto"/>
              <w:jc w:val="center"/>
            </w:pPr>
            <w:r>
              <w:rPr>
                <w:rFonts w:ascii="Times New Roman" w:hAnsi="Times New Roman"/>
                <w:b/>
                <w:color w:val="000000"/>
                <w:sz w:val="21"/>
              </w:rPr>
              <w:t>A/C</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spacing w:after="20" w:before="20" w:line="252" w:lineRule="auto"/>
              <w:jc w:val="center"/>
            </w:pPr>
            <w:r>
              <w:rPr>
                <w:rFonts w:ascii="Times New Roman" w:hAnsi="Times New Roman"/>
                <w:b/>
                <w:color w:val="000000"/>
                <w:sz w:val="21"/>
              </w:rPr>
              <w:t>Маршрут</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spacing w:after="20" w:before="20" w:line="252" w:lineRule="auto"/>
              <w:jc w:val="center"/>
            </w:pPr>
            <w:r>
              <w:rPr>
                <w:rFonts w:ascii="Times New Roman" w:hAnsi="Times New Roman"/>
                <w:b/>
                <w:color w:val="000000"/>
                <w:sz w:val="21"/>
              </w:rPr>
              <w:t>Арифметика нс</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spacing w:after="20" w:before="20" w:line="252" w:lineRule="auto"/>
              <w:jc w:val="center"/>
            </w:pPr>
            <w:r>
              <w:rPr>
                <w:rFonts w:ascii="Times New Roman" w:hAnsi="Times New Roman"/>
                <w:b/>
                <w:color w:val="000000"/>
                <w:sz w:val="21"/>
              </w:rPr>
              <w:t>Запрос X и Release нс</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Краткий</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A</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E напрямую</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0.880</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9.186</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Краткий</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A</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Через Lab65</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1.053</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6.318</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Краткий</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A</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Через Lab2</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0.866</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3.686</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Краткий</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C</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E напрямую</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0.957</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10.246</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Краткий</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C</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Через Lab65</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1.246</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5.618</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Краткий</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C</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Через Lab2</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0.814</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3.438</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ТЗ по ГОСТ</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A</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E напрямую</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0.957</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11.568</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ТЗ по ГОСТ</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A</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Через Lab65</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0.985</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5.966</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ТЗ по ГОСТ</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A</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Через Lab2</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0.864</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4.046</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ТЗ по ГОСТ</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C</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E напрямую</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0.847</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8.126</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ТЗ по ГОСТ</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C</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Через Lab65</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1.119</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5.040</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ТЗ по ГОСТ</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C</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Через Lab2</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0.809</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3.316</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Подробный без ТЗ</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A</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E напрямую</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1.011</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10.676</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Подробный без ТЗ</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A</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Через Lab65</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0.999</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5.492</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Подробный без ТЗ</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A</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Через Lab2</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0.866</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3.800</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Подробный без ТЗ</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C</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E напрямую</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1.015</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10.340</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Подробный без ТЗ</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C</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Через Lab65</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1.285</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5.664</w:t>
            </w:r>
          </w:p>
        </w:tc>
      </w:tr>
      <w:tr>
        <w:trPr>
          <w:cantSplit/>
        </w:trPr>
        <w:tc>
          <w:tcPr>
            <w:tcW w:type="dxa" w:w="2381"/>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Подробный без ТЗ</w:t>
            </w:r>
          </w:p>
        </w:tc>
        <w:tc>
          <w:tcPr>
            <w:tcW w:type="dxa" w:w="68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C</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Через Lab2</w:t>
            </w:r>
          </w:p>
        </w:tc>
        <w:tc>
          <w:tcPr>
            <w:tcW w:type="dxa" w:w="192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0.848</w:t>
            </w:r>
          </w:p>
        </w:tc>
        <w:tc>
          <w:tcPr>
            <w:tcW w:type="dxa" w:w="2438"/>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3.276</w:t>
            </w:r>
          </w:p>
        </w:tc>
      </w:tr>
    </w:tbl>
    <w:p>
      <w:pPr>
        <w:widowControl/>
        <w:spacing w:after="20"/>
      </w:pPr>
    </w:p>
    <w:p>
      <w:pPr>
        <w:widowControl/>
        <w:jc w:val="both"/>
      </w:pPr>
      <w:r>
        <w:t>Арифметическое значение получено делением времени 500 000 итераций по четыре операции на 2 000 000 вызовов. Контрольная сумма проверялась. Для QueryInterface(X) вместе с Release измерялось 500 000 пар. Наносекунды здесь — среднее время в большом цикле, а не прямой замер отдельного вызова.</w:t>
      </w:r>
    </w:p>
    <w:p>
      <w:pPr>
        <w:widowControl/>
        <w:jc w:val="both"/>
      </w:pPr>
      <w:r>
        <w:t>Маршруты различаются реализациями QueryInterface и зависимостями. Меньшее время у Lab2 не означает, что агрегирование само по себе ускоряет программу. На малые интервалы влияют прогрев, кэш, разрешение таймера и состояние ноутбука. В таблице сравниваются конкретные маршруты на одном Mac.</w:t>
      </w:r>
    </w:p>
    <w:p>
      <w:pPr>
        <w:pStyle w:val="Heading1"/>
        <w:widowControl/>
      </w:pPr>
      <w:bookmarkStart w:id="9" w:name="arpo_section_9"/>
      <w:r>
        <w:t>9 Выводы</w:t>
      </w:r>
      <w:bookmarkEnd w:id="9"/>
    </w:p>
    <w:p>
      <w:pPr>
        <w:widowControl/>
        <w:jc w:val="both"/>
      </w:pPr>
      <w:r>
        <w:t>Компонент первой лабораторной повторно использован без изменения численного кода. К нему добавлены арифметические интерфейсы, а новый Lab2 объединяет сортировку и калькуляторы через включение и агрегирование. Проверены все переходы между поддерживаемыми интерфейсами, единый IEcoUnknown и освобождение ресурсов. Два варианта сборки A/C в совокупности используют A–E.</w:t>
      </w:r>
    </w:p>
    <w:p>
      <w:pPr>
        <w:widowControl/>
        <w:jc w:val="both"/>
      </w:pPr>
      <w:r>
        <w:t>Все девять решений Qwen стали рабочими после уточнений. Полезность ТЗ по ГОСТ в этой работе — в понятной структуре и полноте требований. Оно показало меньшую медиану времени доведения, однако ни один способ не дал готовую программу с первого ответа. По трём повторам с разными последующими подсказками нельзя установить самостоятельное преимущество формы ТЗ.</w:t>
      </w:r>
    </w:p>
    <w:p>
      <w:pPr>
        <w:widowControl/>
        <w:jc w:val="both"/>
      </w:pPr>
      <w:r>
        <w:t>Ограничения относятся к конкретному эксперименту. Проверена macOS на Apple Silicon. Не проверены другие ОС, многопоточность, передача интерфейсов между процессами и все глубокие отказы внутри учебных компонентов. Для арифметики не заявляется поддержка деления на ноль или переполнений вне оговорённых входов. Скорость сортировки измерена только для double и выбранных распределений.</w:t>
      </w:r>
    </w:p>
    <w:p>
      <w:pPr>
        <w:widowControl/>
        <w:jc w:val="both"/>
      </w:pPr>
      <w:r>
        <w:t>Наборы тестов конечны и не являются формальным доказательством. Общий контракт уже задавал архитектурные правила даже краткому запросу. Организатор знал вид запроса при разборе кода, а слепая экспертная оценка не проводилась. Часть сведений о прерванных обращениях не восстановлена; соответствующие суммы остаются нижними границами.</w:t>
      </w:r>
    </w:p>
    <w:p>
      <w:pPr>
        <w:pStyle w:val="Heading1"/>
        <w:widowControl/>
      </w:pPr>
      <w:bookmarkStart w:id="10" w:name="arpo_section_10"/>
      <w:r>
        <w:t>10 Где находятся файлы и как запустить программу</w:t>
      </w:r>
      <w:bookmarkEnd w:id="10"/>
    </w:p>
    <w:p>
      <w:pPr>
        <w:widowControl/>
      </w:pPr>
      <w:hyperlink r:id="rId15">
        <w:r>
          <w:rPr>
            <w:color w:val="365D83"/>
            <w:u w:val="single"/>
          </w:rPr>
          <w:t>Общий репозиторий первой и второй лабораторных</w:t>
        </w:r>
      </w:hyperlink>
    </w:p>
    <w:p>
      <w:pPr>
        <w:widowControl/>
      </w:pPr>
      <w:hyperlink r:id="rId16">
        <w:r>
          <w:rPr>
            <w:color w:val="365D83"/>
            <w:u w:val="single"/>
          </w:rPr>
          <w:t>Вторая лабораторная и ссылки на все исходники</w:t>
        </w:r>
      </w:hyperlink>
    </w:p>
    <w:p>
      <w:pPr>
        <w:widowControl/>
        <w:jc w:val="both"/>
      </w:pPr>
      <w:r>
        <w:t>Первая работа находится в корне репозитория, вторая — в папке lab2. Внутри второй работы отдельно сохранены исходники краткого запроса, ТЗ по ГОСТ и обычного подробного запроса, по три повтора в каждом. Там же находятся проверки, уточнения, таблицы измерений, история исходников и этот отчёт. Общий Git-репозиторий выбран для удобства; задание требует повторного использования компонента, но не предписывает способ размещения в Git.</w:t>
      </w:r>
    </w:p>
    <w:p>
      <w:pPr>
        <w:widowControl/>
        <w:jc w:val="both"/>
      </w:pPr>
      <w:r>
        <w:t>Для запуска нужны macOS Apple Silicon, Command Line Tools, Python 3.9 или новее и отдельно полученный у преподавателя Eco SDK. Модель, MLX и окружение обёртки для сборки готовой лабораторной не нужны. Из корня репозитория можно запустить все проверки следующей командой:</w:t>
      </w:r>
    </w:p>
    <w:p>
      <w:pPr>
        <w:widowControl/>
        <w:jc w:val="both"/>
      </w:pPr>
      <w:r>
        <w:t>python3 lab2/tools/run_checks.py --sdk "/путь/к/Eco.Framework" --all --extended</w:t>
      </w:r>
    </w:p>
    <w:p>
      <w:pPr>
        <w:widowControl/>
        <w:jc w:val="both"/>
      </w:pPr>
      <w:r>
        <w:t>Команда проверяет все 18 сочетаний. Для наглядного запуска есть tools/serve_demo.py; он открывает локальную страницу с кнопками арифметики, сортировки и проверок. Запись запуска включена в README. Время в строке PASS видео включает сборку и запуск клиента; для оценки скорости алгоритма используются таблицы раздела 8.</w:t>
      </w:r>
    </w:p>
    <w:p>
      <w:pPr>
        <w:widowControl/>
        <w:jc w:val="both"/>
      </w:pPr>
      <w:r>
        <w:t>В открытый комплект не включены SDK, веса модели и окружение обёртки. Полные журналы эксперимента сохранены локально; в репозитории размещены сводки, исходники и уточнения. Исторические локальные пути в журналах не нужны для сборки.</w:t>
      </w:r>
    </w:p>
    <w:p>
      <w:pPr>
        <w:pStyle w:val="Heading1"/>
        <w:widowControl/>
      </w:pPr>
      <w:r>
        <w:t>Источники</w:t>
      </w:r>
    </w:p>
    <w:p>
      <w:pPr>
        <w:widowControl/>
        <w:jc w:val="both"/>
      </w:pPr>
      <w:r>
        <w:t>Задание 2 и «Проектирование — Лекция 04». Документы преподавателя, предоставленные пользователем; в задании использованы страницы 1–4.</w:t>
      </w:r>
    </w:p>
    <w:p>
      <w:pPr>
        <w:widowControl/>
      </w:pPr>
      <w:hyperlink r:id="rId17">
        <w:r>
          <w:rPr>
            <w:color w:val="365D83"/>
            <w:u w:val="single"/>
          </w:rPr>
          <w:t>Учебные компоненты Eco.Education, зафиксированная версия</w:t>
        </w:r>
      </w:hyperlink>
    </w:p>
    <w:p>
      <w:pPr>
        <w:widowControl/>
      </w:pPr>
      <w:hyperlink r:id="rId18">
        <w:r>
          <w:rPr>
            <w:color w:val="365D83"/>
            <w:u w:val="single"/>
          </w:rPr>
          <w:t>Обёртка ARPO, версия преподавателя</w:t>
        </w:r>
      </w:hyperlink>
    </w:p>
    <w:p>
      <w:pPr>
        <w:widowControl/>
      </w:pPr>
      <w:hyperlink r:id="rId19">
        <w:r>
          <w:rPr>
            <w:color w:val="365D83"/>
            <w:u w:val="single"/>
          </w:rPr>
          <w:t>ГОСТ 19.201-78, карточка Росстандарта</w:t>
        </w:r>
      </w:hyperlink>
    </w:p>
    <w:p>
      <w:pPr>
        <w:widowControl/>
      </w:pPr>
      <w:hyperlink r:id="rId20">
        <w:r>
          <w:rPr>
            <w:color w:val="365D83"/>
            <w:u w:val="single"/>
          </w:rPr>
          <w:t>Текст ГОСТ 19.201-78</w:t>
        </w:r>
      </w:hyperlink>
    </w:p>
    <w:p>
      <w:pPr>
        <w:widowControl/>
      </w:pPr>
      <w:hyperlink r:id="rId21">
        <w:r>
          <w:rPr>
            <w:color w:val="365D83"/>
            <w:u w:val="single"/>
          </w:rPr>
          <w:t>Первая лабораторная, исходная версия</w:t>
        </w:r>
      </w:hyperlink>
    </w:p>
    <w:p>
      <w:pPr>
        <w:widowControl/>
      </w:pPr>
      <w:hyperlink r:id="rId22">
        <w:r>
          <w:rPr>
            <w:color w:val="365D83"/>
            <w:u w:val="single"/>
          </w:rPr>
          <w:t>Выбранные веса Qwen, зафиксированная версия</w:t>
        </w:r>
      </w:hyperlink>
    </w:p>
    <w:p>
      <w:pPr>
        <w:widowControl/>
      </w:pPr>
      <w:r>
        <w:br w:type="page"/>
      </w:r>
    </w:p>
    <w:p>
      <w:pPr>
        <w:pStyle w:val="Heading1"/>
        <w:widowControl/>
      </w:pPr>
      <w:bookmarkStart w:id="11" w:name="arpo_appendix"/>
      <w:r>
        <w:t>Приложение 1 Параметры и полный учёт затрат</w:t>
      </w:r>
      <w:bookmarkEnd w:id="11"/>
    </w:p>
    <w:p>
      <w:pPr>
        <w:widowControl/>
        <w:spacing w:line="259" w:lineRule="auto" w:after="120"/>
        <w:jc w:val="both"/>
      </w:pPr>
      <w:r>
        <w:rPr>
          <w:sz w:val="23"/>
        </w:rPr>
        <w:t>Этот раздел сохраняет технические подробности для повторения эксперимента. Они не нужны, чтобы понять устройство программы.</w:t>
      </w:r>
    </w:p>
    <w:tbl>
      <w:tblPr>
        <w:tblW w:type="auto" w:w="0"/>
        <w:jc w:val="center"/>
        <w:tblLayout w:type="fixed"/>
        <w:tblLook w:firstColumn="1" w:firstRow="1" w:lastColumn="0" w:lastRow="0" w:noHBand="0" w:noVBand="1" w:val="04A0"/>
      </w:tblPr>
      <w:tblGrid>
        <w:gridCol w:w="2381"/>
        <w:gridCol w:w="6973"/>
      </w:tblGrid>
      <w:tr>
        <w:trPr>
          <w:cantSplit/>
          <w:tblHeader/>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left"/>
            </w:pPr>
            <w:r>
              <w:rPr>
                <w:rFonts w:ascii="Times New Roman" w:hAnsi="Times New Roman"/>
                <w:b/>
                <w:color w:val="000000"/>
                <w:sz w:val="21"/>
              </w:rPr>
              <w:t>Параметр</w:t>
            </w:r>
          </w:p>
        </w:tc>
        <w:tc>
          <w:tcPr>
            <w:tcW w:type="dxa" w:w="697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shd w:fill="E7EDF1"/>
          </w:tcPr>
          <w:p>
            <w:pPr>
              <w:spacing w:after="40" w:before="40" w:line="252" w:lineRule="auto"/>
              <w:jc w:val="center"/>
            </w:pPr>
            <w:r>
              <w:rPr>
                <w:rFonts w:ascii="Times New Roman" w:hAnsi="Times New Roman"/>
                <w:b/>
                <w:color w:val="000000"/>
                <w:sz w:val="21"/>
              </w:rPr>
              <w:t>Значение</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Модель</w:t>
            </w:r>
          </w:p>
        </w:tc>
        <w:tc>
          <w:tcPr>
            <w:tcW w:type="dxa" w:w="697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mlx-community/Qwen2.5-Coder-14B-Instruct-4bit</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Ревизия весов</w:t>
            </w:r>
          </w:p>
        </w:tc>
        <w:tc>
          <w:tcPr>
            <w:tcW w:type="dxa" w:w="697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29efdbab55a161237ab1e432a3abaf6c7ae2b477</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Ноутбук</w:t>
            </w:r>
          </w:p>
        </w:tc>
        <w:tc>
          <w:tcPr>
            <w:tcW w:type="dxa" w:w="697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Apple M4 Pro, 24 GiB RAM, macOS arm64</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ПО</w:t>
            </w:r>
          </w:p>
        </w:tc>
        <w:tc>
          <w:tcPr>
            <w:tcW w:type="dxa" w:w="697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Python 3.13.7; MLX 0.32.3; mlx-lm 0.32.0</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ОС и компилятор</w:t>
            </w:r>
          </w:p>
        </w:tc>
        <w:tc>
          <w:tcPr>
            <w:tcW w:type="dxa" w:w="697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macOS 26.6.2, build 25G83; Apple clang 17.0.0, clang-1700.0.13.3; macOS SDK 15.4</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Генерация</w:t>
            </w:r>
          </w:p>
        </w:tc>
        <w:tc>
          <w:tcPr>
            <w:tcW w:type="dxa" w:w="697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temperature 0.7; top_p 0.8; top_k 20; repetition_penalty 1.05; max_tokens 12288</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Формат ответа</w:t>
            </w:r>
          </w:p>
        </w:tc>
        <w:tc>
          <w:tcPr>
            <w:tcW w:type="dxa" w:w="697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Один полный файл Reuse.c в каждом ответе</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Память MLX</w:t>
            </w:r>
          </w:p>
        </w:tc>
        <w:tc>
          <w:tcPr>
            <w:tcW w:type="dxa" w:w="697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KV 8 bit с начала; prefill 128; кеш промптов 0; лимит wired 12 GiB; защитный порог активной памяти 13 GiB</w:t>
            </w:r>
          </w:p>
        </w:tc>
      </w:tr>
      <w:tr>
        <w:trPr>
          <w:cantSplit/>
        </w:trPr>
        <w:tc>
          <w:tcPr>
            <w:tcW w:type="dxa" w:w="2381"/>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Общий seed SHA256</w:t>
            </w:r>
          </w:p>
        </w:tc>
        <w:tc>
          <w:tcPr>
            <w:tcW w:type="dxa" w:w="6973"/>
            <w:vAlign w:val="center"/>
            <w:tcBorders>
              <w:top w:val="single" w:sz="4" w:color="D9D9D9"/>
              <w:left w:val="single" w:sz="4" w:color="D9D9D9"/>
              <w:bottom w:val="single" w:sz="4" w:color="D9D9D9"/>
              <w:right w:val="single" w:sz="4" w:color="D9D9D9"/>
            </w:tcBorders>
            <w:tcMar>
              <w:top w:w="90" w:type="dxa"/>
              <w:bottom w:w="90" w:type="dxa"/>
              <w:left w:w="90" w:type="dxa"/>
              <w:right w:w="90" w:type="dxa"/>
            </w:tcMar>
          </w:tcPr>
          <w:p>
            <w:pPr>
              <w:spacing w:after="40" w:before="40" w:line="252" w:lineRule="auto"/>
              <w:jc w:val="left"/>
            </w:pPr>
            <w:r>
              <w:rPr>
                <w:rFonts w:ascii="Times New Roman" w:hAnsi="Times New Roman"/>
                <w:b w:val="0"/>
                <w:color w:val="000000"/>
                <w:sz w:val="21"/>
              </w:rPr>
              <w:t>172c0e68138870fd19a3fd568985053f7d155357b145b78d1562ca7e18d2697c</w:t>
            </w:r>
          </w:p>
        </w:tc>
      </w:tr>
    </w:tbl>
    <w:p>
      <w:pPr>
        <w:widowControl/>
        <w:spacing w:after="120" w:line="259" w:lineRule="auto"/>
      </w:pPr>
    </w:p>
    <w:p>
      <w:pPr>
        <w:widowControl/>
        <w:spacing w:line="259" w:lineRule="auto" w:after="120"/>
        <w:jc w:val="both"/>
      </w:pPr>
      <w:r>
        <w:rPr>
          <w:sz w:val="23"/>
        </w:rPr>
        <w:t>Для защиты памяти дополнительно наблюдался пик памяти процесса с порогом 16 GiB; активная память MLX проверялась раз в 0,5 секунды. Это периодический контроль одного процесса, а не жёсткое ограничение всей памяти macOS. Остальные приложения им не ограничивались.</w:t>
      </w:r>
    </w:p>
    <w:p>
      <w:pPr>
        <w:widowControl/>
        <w:spacing w:line="259" w:lineRule="auto" w:after="120"/>
        <w:jc w:val="both"/>
      </w:pPr>
      <w:r>
        <w:rPr>
          <w:sz w:val="23"/>
        </w:rPr>
        <w:t>Использована поставка Eco.Framework_20260918.zip и eco-wizard 0.2.2. Фабрики зарегистрированы в настоящей IEcoInterfaceBus1, объекты создаются через QueryComponent, память получается через IEcoMemoryAllocator1. Заголовки SDK подключаются как системные; студенческий код проверяется как C89. В исходниках преподавателя различия имён и повторяющиеся символы фабрики C согласованы параметрами компиляции, без изменения их исходного текста.</w:t>
      </w:r>
    </w:p>
    <w:p>
      <w:pPr>
        <w:widowControl/>
        <w:spacing w:line="259" w:lineRule="auto" w:after="120"/>
        <w:jc w:val="both"/>
      </w:pPr>
      <w:r>
        <w:rPr>
          <w:sz w:val="23"/>
        </w:rPr>
        <w:t>Обёртка обновлена до версии преподавателя 703b258 с сохранением локальных улучшений архивирования. Согласование проверено 53 модульными тестами и проверкой стиля Ruff; eco-doctor и новый базовый каркас прошли 133 проверки. Модель в ходе сравнения не менялась; существующие веса использованы повторно.</w:t>
      </w:r>
    </w:p>
    <w:p>
      <w:pPr>
        <w:pStyle w:val="Heading2"/>
        <w:widowControl/>
      </w:pPr>
      <w:r>
        <w:t>Расходы каждого повтора</w:t>
      </w:r>
    </w:p>
    <w:tbl>
      <w:tblPr>
        <w:tblW w:type="auto" w:w="0"/>
        <w:jc w:val="center"/>
        <w:tblLayout w:type="fixed"/>
        <w:tblLook w:firstColumn="1" w:firstRow="1" w:lastColumn="0" w:lastRow="0" w:noHBand="0" w:noVBand="1" w:val="04A0"/>
      </w:tblPr>
      <w:tblGrid>
        <w:gridCol w:w="1814"/>
        <w:gridCol w:w="340"/>
        <w:gridCol w:w="1644"/>
        <w:gridCol w:w="1644"/>
        <w:gridCol w:w="1020"/>
        <w:gridCol w:w="1247"/>
        <w:gridCol w:w="1644"/>
      </w:tblGrid>
      <w:tr>
        <w:trPr>
          <w:cantSplit/>
          <w:tblHeader/>
        </w:trPr>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spacing w:after="20" w:before="20" w:line="252" w:lineRule="auto"/>
              <w:jc w:val="left"/>
            </w:pPr>
            <w:r>
              <w:rPr>
                <w:rFonts w:ascii="Times New Roman" w:hAnsi="Times New Roman"/>
                <w:b/>
                <w:color w:val="000000"/>
                <w:sz w:val="21"/>
              </w:rPr>
              <w:t>Запрос</w:t>
            </w:r>
          </w:p>
        </w:tc>
        <w:tc>
          <w:tcPr>
            <w:tcW w:type="dxa" w:w="3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spacing w:after="20" w:before="20" w:line="252" w:lineRule="auto"/>
              <w:jc w:val="center"/>
            </w:pPr>
            <w:r>
              <w:rPr>
                <w:rFonts w:ascii="Times New Roman" w:hAnsi="Times New Roman"/>
                <w:b/>
                <w:color w:val="000000"/>
                <w:sz w:val="21"/>
              </w:rPr>
              <w:t>№</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spacing w:after="20" w:before="20" w:line="252" w:lineRule="auto"/>
              <w:jc w:val="center"/>
            </w:pPr>
            <w:r>
              <w:rPr>
                <w:rFonts w:ascii="Times New Roman" w:hAnsi="Times New Roman"/>
                <w:b/>
                <w:color w:val="000000"/>
                <w:sz w:val="21"/>
              </w:rPr>
              <w:t>Входные токены</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spacing w:after="20" w:before="20" w:line="252" w:lineRule="auto"/>
              <w:jc w:val="center"/>
            </w:pPr>
            <w:r>
              <w:rPr>
                <w:rFonts w:ascii="Times New Roman" w:hAnsi="Times New Roman"/>
                <w:b/>
                <w:color w:val="000000"/>
                <w:sz w:val="21"/>
              </w:rPr>
              <w:t>Выходные токены</w:t>
            </w:r>
          </w:p>
        </w:tc>
        <w:tc>
          <w:tcPr>
            <w:tcW w:type="dxa" w:w="10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spacing w:after="20" w:before="20" w:line="252" w:lineRule="auto"/>
              <w:jc w:val="center"/>
            </w:pPr>
            <w:r>
              <w:rPr>
                <w:rFonts w:ascii="Times New Roman" w:hAnsi="Times New Roman"/>
                <w:b/>
                <w:color w:val="000000"/>
                <w:sz w:val="21"/>
              </w:rPr>
              <w:t>Запросы</w:t>
            </w:r>
          </w:p>
        </w:tc>
        <w:tc>
          <w:tcPr>
            <w:tcW w:type="dxa" w:w="124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spacing w:after="20" w:before="20" w:line="252" w:lineRule="auto"/>
              <w:jc w:val="center"/>
            </w:pPr>
            <w:r>
              <w:rPr>
                <w:rFonts w:ascii="Times New Roman" w:hAnsi="Times New Roman"/>
                <w:b/>
                <w:color w:val="000000"/>
                <w:sz w:val="21"/>
              </w:rPr>
              <w:t>Уточнения</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spacing w:after="20" w:before="20" w:line="252" w:lineRule="auto"/>
              <w:jc w:val="center"/>
            </w:pPr>
            <w:r>
              <w:rPr>
                <w:rFonts w:ascii="Times New Roman" w:hAnsi="Times New Roman"/>
                <w:b/>
                <w:color w:val="000000"/>
                <w:sz w:val="21"/>
              </w:rPr>
              <w:t>Время мин</w:t>
            </w:r>
          </w:p>
        </w:tc>
      </w:tr>
      <w:tr>
        <w:trPr>
          <w:cantSplit/>
        </w:trPr>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Краткий</w:t>
            </w:r>
          </w:p>
        </w:tc>
        <w:tc>
          <w:tcPr>
            <w:tcW w:type="dxa" w:w="3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 264 342</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 84 117</w:t>
            </w:r>
          </w:p>
        </w:tc>
        <w:tc>
          <w:tcPr>
            <w:tcW w:type="dxa" w:w="10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26</w:t>
            </w:r>
          </w:p>
        </w:tc>
        <w:tc>
          <w:tcPr>
            <w:tcW w:type="dxa" w:w="124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25</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103.48</w:t>
            </w:r>
          </w:p>
        </w:tc>
      </w:tr>
      <w:tr>
        <w:trPr>
          <w:cantSplit/>
        </w:trPr>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Краткий</w:t>
            </w:r>
          </w:p>
        </w:tc>
        <w:tc>
          <w:tcPr>
            <w:tcW w:type="dxa" w:w="3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2</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167 169</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69 557</w:t>
            </w:r>
          </w:p>
        </w:tc>
        <w:tc>
          <w:tcPr>
            <w:tcW w:type="dxa" w:w="10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15</w:t>
            </w:r>
          </w:p>
        </w:tc>
        <w:tc>
          <w:tcPr>
            <w:tcW w:type="dxa" w:w="124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14</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81.29</w:t>
            </w:r>
          </w:p>
        </w:tc>
      </w:tr>
      <w:tr>
        <w:trPr>
          <w:cantSplit/>
        </w:trPr>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Краткий</w:t>
            </w:r>
          </w:p>
        </w:tc>
        <w:tc>
          <w:tcPr>
            <w:tcW w:type="dxa" w:w="3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3</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167 120</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70 601</w:t>
            </w:r>
          </w:p>
        </w:tc>
        <w:tc>
          <w:tcPr>
            <w:tcW w:type="dxa" w:w="10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15</w:t>
            </w:r>
          </w:p>
        </w:tc>
        <w:tc>
          <w:tcPr>
            <w:tcW w:type="dxa" w:w="124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14</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82.46</w:t>
            </w:r>
          </w:p>
        </w:tc>
      </w:tr>
      <w:tr>
        <w:trPr>
          <w:cantSplit/>
        </w:trPr>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ТЗ по ГОСТ</w:t>
            </w:r>
          </w:p>
        </w:tc>
        <w:tc>
          <w:tcPr>
            <w:tcW w:type="dxa" w:w="3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207 129</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56 594</w:t>
            </w:r>
          </w:p>
        </w:tc>
        <w:tc>
          <w:tcPr>
            <w:tcW w:type="dxa" w:w="10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15</w:t>
            </w:r>
          </w:p>
        </w:tc>
        <w:tc>
          <w:tcPr>
            <w:tcW w:type="dxa" w:w="124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14</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76.36</w:t>
            </w:r>
          </w:p>
        </w:tc>
      </w:tr>
      <w:tr>
        <w:trPr>
          <w:cantSplit/>
        </w:trPr>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ТЗ по ГОСТ</w:t>
            </w:r>
          </w:p>
        </w:tc>
        <w:tc>
          <w:tcPr>
            <w:tcW w:type="dxa" w:w="3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2</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227 036</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69 210</w:t>
            </w:r>
          </w:p>
        </w:tc>
        <w:tc>
          <w:tcPr>
            <w:tcW w:type="dxa" w:w="10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16</w:t>
            </w:r>
          </w:p>
        </w:tc>
        <w:tc>
          <w:tcPr>
            <w:tcW w:type="dxa" w:w="124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15</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91.94</w:t>
            </w:r>
          </w:p>
        </w:tc>
      </w:tr>
      <w:tr>
        <w:trPr>
          <w:cantSplit/>
        </w:trPr>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ТЗ по ГОСТ</w:t>
            </w:r>
          </w:p>
        </w:tc>
        <w:tc>
          <w:tcPr>
            <w:tcW w:type="dxa" w:w="3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3</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162 776</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56 015</w:t>
            </w:r>
          </w:p>
        </w:tc>
        <w:tc>
          <w:tcPr>
            <w:tcW w:type="dxa" w:w="10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11</w:t>
            </w:r>
          </w:p>
        </w:tc>
        <w:tc>
          <w:tcPr>
            <w:tcW w:type="dxa" w:w="124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10</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72.82</w:t>
            </w:r>
          </w:p>
        </w:tc>
      </w:tr>
      <w:tr>
        <w:trPr>
          <w:cantSplit/>
        </w:trPr>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Подробный без ТЗ</w:t>
            </w:r>
          </w:p>
        </w:tc>
        <w:tc>
          <w:tcPr>
            <w:tcW w:type="dxa" w:w="3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 208 853</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 66 879</w:t>
            </w:r>
          </w:p>
        </w:tc>
        <w:tc>
          <w:tcPr>
            <w:tcW w:type="dxa" w:w="10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 16</w:t>
            </w:r>
          </w:p>
        </w:tc>
        <w:tc>
          <w:tcPr>
            <w:tcW w:type="dxa" w:w="124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15</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 87.96</w:t>
            </w:r>
          </w:p>
        </w:tc>
      </w:tr>
      <w:tr>
        <w:trPr>
          <w:cantSplit/>
        </w:trPr>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Подробный без ТЗ</w:t>
            </w:r>
          </w:p>
        </w:tc>
        <w:tc>
          <w:tcPr>
            <w:tcW w:type="dxa" w:w="3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2</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128 199</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43 300</w:t>
            </w:r>
          </w:p>
        </w:tc>
        <w:tc>
          <w:tcPr>
            <w:tcW w:type="dxa" w:w="10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9</w:t>
            </w:r>
          </w:p>
        </w:tc>
        <w:tc>
          <w:tcPr>
            <w:tcW w:type="dxa" w:w="124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8</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57.89</w:t>
            </w:r>
          </w:p>
        </w:tc>
      </w:tr>
      <w:tr>
        <w:trPr>
          <w:cantSplit/>
        </w:trPr>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left"/>
            </w:pPr>
            <w:r>
              <w:rPr>
                <w:rFonts w:ascii="Times New Roman" w:hAnsi="Times New Roman"/>
                <w:b w:val="0"/>
                <w:color w:val="000000"/>
                <w:sz w:val="21"/>
              </w:rPr>
              <w:t>Подробный без ТЗ</w:t>
            </w:r>
          </w:p>
        </w:tc>
        <w:tc>
          <w:tcPr>
            <w:tcW w:type="dxa" w:w="34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3</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229 326</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77 558</w:t>
            </w:r>
          </w:p>
        </w:tc>
        <w:tc>
          <w:tcPr>
            <w:tcW w:type="dxa" w:w="1020"/>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16</w:t>
            </w:r>
          </w:p>
        </w:tc>
        <w:tc>
          <w:tcPr>
            <w:tcW w:type="dxa" w:w="124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15</w:t>
            </w:r>
          </w:p>
        </w:tc>
        <w:tc>
          <w:tcPr>
            <w:tcW w:type="dxa" w:w="164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spacing w:after="20" w:before="20" w:line="252" w:lineRule="auto"/>
              <w:jc w:val="center"/>
            </w:pPr>
            <w:r>
              <w:rPr>
                <w:rFonts w:ascii="Times New Roman" w:hAnsi="Times New Roman"/>
                <w:b w:val="0"/>
                <w:color w:val="000000"/>
                <w:sz w:val="21"/>
              </w:rPr>
              <w:t>100.52</w:t>
            </w:r>
          </w:p>
        </w:tc>
      </w:tr>
    </w:tbl>
    <w:p>
      <w:pPr>
        <w:widowControl/>
        <w:spacing w:after="120" w:line="259" w:lineRule="auto"/>
      </w:pPr>
    </w:p>
    <w:p>
      <w:pPr>
        <w:pStyle w:val="Heading2"/>
        <w:widowControl/>
      </w:pPr>
      <w:r>
        <w:t>Что включено во время и число обращений</w:t>
      </w:r>
    </w:p>
    <w:p>
      <w:pPr>
        <w:widowControl/>
        <w:spacing w:line="259" w:lineRule="auto" w:after="120"/>
        <w:jc w:val="both"/>
      </w:pPr>
      <w:r>
        <w:rPr>
          <w:sz w:val="23"/>
        </w:rPr>
        <w:t>Входные и выходные токены взяты из ответов сервера, из поля usage. Обращением считается попытка генерации через API модели, в том числе завершившаяся сетевой ошибкой. Проверки доступности сервера отдельно не считаются генерацией. Весь сетевой трафик компьютера не измерялся.</w:t>
      </w:r>
    </w:p>
    <w:p>
      <w:pPr>
        <w:widowControl/>
        <w:spacing w:line="259" w:lineRule="auto" w:after="120"/>
        <w:jc w:val="both"/>
      </w:pPr>
      <w:r>
        <w:rPr>
          <w:sz w:val="23"/>
        </w:rPr>
        <w:t>Активное время складывается из сохранённых сессий обёртки и отдельно записанной прямой диагностики теми же независимыми клиентами. Исходный счётчик обёртки сохранён отдельно. Календарные паузы, труд организатора, подготовка окружения и отчёта не включены. Полный труд организатора отдельно не измерялся.</w:t>
      </w:r>
    </w:p>
    <w:p>
      <w:pPr>
        <w:widowControl/>
        <w:spacing w:line="259" w:lineRule="auto" w:after="120"/>
        <w:jc w:val="both"/>
      </w:pPr>
      <w:r>
        <w:rPr>
          <w:sz w:val="23"/>
        </w:rPr>
        <w:t>До эксперимента пользователь ответил на два общих вопроса об источниках обёртки и калькуляторов. Они не считаются исправлениями модели. Уточнения в таблице раздела 6 — сохранённые продолжения организатора; автоматическая диагностика входит в текст и токены обращений, но не увеличивает этот счётчик уточнений.</w:t>
      </w:r>
    </w:p>
    <w:p>
      <w:pPr>
        <w:pStyle w:val="Heading2"/>
        <w:widowControl/>
      </w:pPr>
      <w:r>
        <w:t>Прерывания и неполные данные</w:t>
      </w:r>
    </w:p>
    <w:p>
      <w:pPr>
        <w:widowControl/>
        <w:spacing w:line="259" w:lineRule="auto" w:after="120"/>
        <w:jc w:val="both"/>
      </w:pPr>
      <w:r>
        <w:rPr>
          <w:sz w:val="23"/>
        </w:rPr>
        <w:t>В первом кратком повторе одно сетевое обращение завершилось без сведений о токенах. Его время и сама попытка сохранены, но точная полная сумма токенов неизвестна. В первом обычном подробном повторе дополнительно прервана начавшаяся сессия до сохранения ответа. Для неё неизвестны токены и точная длительность; учтена как минимум одна дополнительная попытка. Причина остановки не установлена, признака срабатывания защиты памяти не найдено.</w:t>
      </w:r>
    </w:p>
    <w:p>
      <w:pPr>
        <w:widowControl/>
        <w:spacing w:line="259" w:lineRule="auto" w:after="120"/>
        <w:jc w:val="both"/>
      </w:pPr>
      <w:r>
        <w:rPr>
          <w:sz w:val="23"/>
        </w:rPr>
        <w:t>После остановок работа продолжалась в той же попытке и с той же моделью. Уже учтённые расходы не сбрасывались. Повторная загрузка сервера и состояние кэшей могли влиять на скорость следующего ответа; отдельно это влияние не исследовалось. Поэтому неполные суммы отмечены знаком ≥ и не выдаются за точные полные затраты.</w:t>
      </w:r>
    </w:p>
    <w:p>
      <w:pPr>
        <w:pStyle w:val="Heading2"/>
        <w:widowControl/>
      </w:pPr>
      <w:r>
        <w:t>Как передавались исправления</w:t>
      </w:r>
    </w:p>
    <w:p>
      <w:pPr>
        <w:widowControl/>
        <w:spacing w:line="259" w:lineRule="auto" w:after="120"/>
        <w:jc w:val="both"/>
      </w:pPr>
      <w:r>
        <w:rPr>
          <w:sz w:val="23"/>
        </w:rPr>
        <w:t>После неудачных ответов переписка сокращалась с сохранением полного архива. В текущем обращении оставались исходный запрос, контракт и нужные объявления. Задание иногда делилось на этапы: методы, создание Lab65, затем Lab2. Общие исходники и приёмочные проверки не менялись.</w:t>
      </w:r>
    </w:p>
    <w:p>
      <w:pPr>
        <w:widowControl/>
        <w:spacing w:line="259" w:lineRule="auto" w:after="120"/>
        <w:jc w:val="both"/>
      </w:pPr>
      <w:r>
        <w:rPr>
          <w:sz w:val="23"/>
        </w:rPr>
        <w:t>В справочные сообщения иногда включались точные фрагменты прежнего ответа этой же попытки, чтобы восстановить случайно удалённые методы или объявления. В таких цитатах могли удаляться ошибочные тела функций или комментарии, но новая реализация не добавлялась. Также использовался отдельный пример допустимого комментария C89. Происхождение цитат и сокращений сохранено в журналах. Полный рабочий файл каждый раз возвращала модель; ответы других независимых вариантов ей не передавались.</w:t>
      </w:r>
    </w:p>
    <w:p>
      <w:pPr>
        <w:widowControl/>
        <w:spacing w:line="259" w:lineRule="auto" w:after="120"/>
        <w:jc w:val="both"/>
      </w:pPr>
      <w:r>
        <w:rPr>
          <w:sz w:val="23"/>
        </w:rPr>
        <w:t>Такая помощь подбиралась по фактическим ошибкам и учитывала опыт ранних попыток. Поэтому затраты до готового решения зависят и от исходного запроса, и от содержания продолжений. Это не отдельный случайный эксперимент по способам ведения диалога.</w:t>
      </w:r>
    </w:p>
    <w:p>
      <w:pPr>
        <w:pStyle w:val="Heading2"/>
        <w:widowControl/>
      </w:pPr>
      <w:r>
        <w:t>Недействительная предварительная серия</w:t>
      </w:r>
    </w:p>
    <w:p>
      <w:pPr>
        <w:widowControl/>
        <w:spacing w:line="259" w:lineRule="auto" w:after="120"/>
        <w:jc w:val="both"/>
      </w:pPr>
      <w:r>
        <w:rPr>
          <w:sz w:val="23"/>
        </w:rPr>
        <w:t>В ранней серии обнаружена ошибка проверочного окружения: оно повторно вызывало инициализацию после создания объекта, хотя фабрика преподавателя уже её выполнила. Был исправлен именно тестовый реестр, а прежние исходники, проверки и расходы сохранены. После изменения проверки начата новая независимая серия с новым общим шаблоном. Ранние результаты не используются для сравнения качества запросов.</w:t>
      </w:r>
    </w:p>
    <w:tbl>
      <w:tblPr>
        <w:tblW w:type="auto" w:w="0"/>
        <w:jc w:val="center"/>
        <w:tblLayout w:type="fixed"/>
        <w:tblLook w:firstColumn="1" w:firstRow="1" w:lastColumn="0" w:lastRow="0" w:noHBand="0" w:noVBand="1" w:val="04A0"/>
      </w:tblPr>
      <w:tblGrid>
        <w:gridCol w:w="2835"/>
        <w:gridCol w:w="1814"/>
        <w:gridCol w:w="1814"/>
        <w:gridCol w:w="1077"/>
        <w:gridCol w:w="1814"/>
      </w:tblGrid>
      <w:tr>
        <w:trPr>
          <w:cantSplit/>
          <w:tblHeader/>
        </w:trPr>
        <w:tc>
          <w:tcPr>
            <w:tcW w:type="dxa" w:w="2835"/>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keepNext/>
              <w:spacing w:after="20" w:before="20" w:line="252" w:lineRule="auto"/>
              <w:jc w:val="left"/>
            </w:pPr>
            <w:r>
              <w:rPr>
                <w:rFonts w:ascii="Times New Roman" w:hAnsi="Times New Roman"/>
                <w:b/>
                <w:color w:val="000000"/>
                <w:sz w:val="21"/>
              </w:rPr>
              <w:t>Что учтено</w:t>
            </w:r>
          </w:p>
        </w:tc>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keepNext/>
              <w:spacing w:after="20" w:before="20" w:line="252" w:lineRule="auto"/>
              <w:jc w:val="center"/>
            </w:pPr>
            <w:r>
              <w:rPr>
                <w:rFonts w:ascii="Times New Roman" w:hAnsi="Times New Roman"/>
                <w:b/>
                <w:color w:val="000000"/>
                <w:sz w:val="21"/>
              </w:rPr>
              <w:t>Входные токены</w:t>
            </w:r>
          </w:p>
        </w:tc>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keepNext/>
              <w:spacing w:after="20" w:before="20" w:line="252" w:lineRule="auto"/>
              <w:jc w:val="center"/>
            </w:pPr>
            <w:r>
              <w:rPr>
                <w:rFonts w:ascii="Times New Roman" w:hAnsi="Times New Roman"/>
                <w:b/>
                <w:color w:val="000000"/>
                <w:sz w:val="21"/>
              </w:rPr>
              <w:t>Выходные токены</w:t>
            </w:r>
          </w:p>
        </w:tc>
        <w:tc>
          <w:tcPr>
            <w:tcW w:type="dxa" w:w="107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keepNext/>
              <w:spacing w:after="20" w:before="20" w:line="252" w:lineRule="auto"/>
              <w:jc w:val="center"/>
            </w:pPr>
            <w:r>
              <w:rPr>
                <w:rFonts w:ascii="Times New Roman" w:hAnsi="Times New Roman"/>
                <w:b/>
                <w:color w:val="000000"/>
                <w:sz w:val="21"/>
              </w:rPr>
              <w:t>Запросы</w:t>
            </w:r>
          </w:p>
        </w:tc>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shd w:fill="E7EDF1"/>
          </w:tcPr>
          <w:p>
            <w:pPr>
              <w:keepNext/>
              <w:spacing w:after="20" w:before="20" w:line="252" w:lineRule="auto"/>
              <w:jc w:val="center"/>
            </w:pPr>
            <w:r>
              <w:rPr>
                <w:rFonts w:ascii="Times New Roman" w:hAnsi="Times New Roman"/>
                <w:b/>
                <w:color w:val="000000"/>
                <w:sz w:val="21"/>
              </w:rPr>
              <w:t>Время с</w:t>
            </w:r>
          </w:p>
        </w:tc>
      </w:tr>
      <w:tr>
        <w:trPr>
          <w:cantSplit/>
        </w:trPr>
        <w:tc>
          <w:tcPr>
            <w:tcW w:type="dxa" w:w="2835"/>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left"/>
            </w:pPr>
            <w:r>
              <w:rPr>
                <w:rFonts w:ascii="Times New Roman" w:hAnsi="Times New Roman"/>
                <w:b w:val="0"/>
                <w:color w:val="000000"/>
                <w:sz w:val="21"/>
              </w:rPr>
              <w:t>Предварительная недействительная серия</w:t>
            </w:r>
          </w:p>
        </w:tc>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272951</w:t>
            </w:r>
          </w:p>
        </w:tc>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61546</w:t>
            </w:r>
          </w:p>
        </w:tc>
        <w:tc>
          <w:tcPr>
            <w:tcW w:type="dxa" w:w="107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15</w:t>
            </w:r>
          </w:p>
        </w:tc>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5570.69</w:t>
            </w:r>
          </w:p>
        </w:tc>
      </w:tr>
      <w:tr>
        <w:trPr>
          <w:cantSplit/>
        </w:trPr>
        <w:tc>
          <w:tcPr>
            <w:tcW w:type="dxa" w:w="2835"/>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left"/>
            </w:pPr>
            <w:r>
              <w:rPr>
                <w:rFonts w:ascii="Times New Roman" w:hAnsi="Times New Roman"/>
                <w:b w:val="0"/>
                <w:color w:val="000000"/>
                <w:sz w:val="21"/>
              </w:rPr>
              <w:t>Отдельный прогрев</w:t>
            </w:r>
          </w:p>
        </w:tc>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32</w:t>
            </w:r>
          </w:p>
        </w:tc>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2</w:t>
            </w:r>
          </w:p>
        </w:tc>
        <w:tc>
          <w:tcPr>
            <w:tcW w:type="dxa" w:w="107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1</w:t>
            </w:r>
          </w:p>
        </w:tc>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spacing w:after="20" w:before="20" w:line="252" w:lineRule="auto"/>
              <w:jc w:val="center"/>
            </w:pPr>
            <w:r>
              <w:rPr>
                <w:rFonts w:ascii="Times New Roman" w:hAnsi="Times New Roman"/>
                <w:b w:val="0"/>
                <w:color w:val="000000"/>
                <w:sz w:val="21"/>
              </w:rPr>
              <w:t>0.645</w:t>
            </w:r>
          </w:p>
        </w:tc>
      </w:tr>
      <w:tr>
        <w:trPr>
          <w:cantSplit/>
        </w:trPr>
        <w:tc>
          <w:tcPr>
            <w:tcW w:type="dxa" w:w="2835"/>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val="0"/>
              <w:spacing w:after="20" w:before="20" w:line="252" w:lineRule="auto"/>
              <w:jc w:val="left"/>
            </w:pPr>
            <w:r>
              <w:rPr>
                <w:rFonts w:ascii="Times New Roman" w:hAnsi="Times New Roman"/>
                <w:b w:val="0"/>
                <w:color w:val="000000"/>
                <w:sz w:val="21"/>
              </w:rPr>
              <w:t>Всего для локальной модели обе серии и прогрев</w:t>
            </w:r>
          </w:p>
        </w:tc>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val="0"/>
              <w:spacing w:after="20" w:before="20" w:line="252" w:lineRule="auto"/>
              <w:jc w:val="center"/>
            </w:pPr>
            <w:r>
              <w:rPr>
                <w:rFonts w:ascii="Times New Roman" w:hAnsi="Times New Roman"/>
                <w:b w:val="0"/>
                <w:color w:val="000000"/>
                <w:sz w:val="21"/>
              </w:rPr>
              <w:t>≥ 2034933</w:t>
            </w:r>
          </w:p>
        </w:tc>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val="0"/>
              <w:spacing w:after="20" w:before="20" w:line="252" w:lineRule="auto"/>
              <w:jc w:val="center"/>
            </w:pPr>
            <w:r>
              <w:rPr>
                <w:rFonts w:ascii="Times New Roman" w:hAnsi="Times New Roman"/>
                <w:b w:val="0"/>
                <w:color w:val="000000"/>
                <w:sz w:val="21"/>
              </w:rPr>
              <w:t>≥ 655379</w:t>
            </w:r>
          </w:p>
        </w:tc>
        <w:tc>
          <w:tcPr>
            <w:tcW w:type="dxa" w:w="1077"/>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val="0"/>
              <w:spacing w:after="20" w:before="20" w:line="252" w:lineRule="auto"/>
              <w:jc w:val="center"/>
            </w:pPr>
            <w:r>
              <w:rPr>
                <w:rFonts w:ascii="Times New Roman" w:hAnsi="Times New Roman"/>
                <w:b w:val="0"/>
                <w:color w:val="000000"/>
                <w:sz w:val="21"/>
              </w:rPr>
              <w:t>≥ 155</w:t>
            </w:r>
          </w:p>
        </w:tc>
        <w:tc>
          <w:tcPr>
            <w:tcW w:type="dxa" w:w="1814"/>
            <w:vAlign w:val="center"/>
            <w:tcBorders>
              <w:top w:val="single" w:sz="4" w:color="D9D9D9"/>
              <w:left w:val="single" w:sz="4" w:color="D9D9D9"/>
              <w:bottom w:val="single" w:sz="4" w:color="D9D9D9"/>
              <w:right w:val="single" w:sz="4" w:color="D9D9D9"/>
            </w:tcBorders>
            <w:tcMar>
              <w:top w:w="60" w:type="dxa"/>
              <w:bottom w:w="60" w:type="dxa"/>
              <w:left w:w="90" w:type="dxa"/>
              <w:right w:w="90" w:type="dxa"/>
            </w:tcMar>
          </w:tcPr>
          <w:p>
            <w:pPr>
              <w:keepNext w:val="0"/>
              <w:spacing w:after="20" w:before="20" w:line="252" w:lineRule="auto"/>
              <w:jc w:val="center"/>
            </w:pPr>
            <w:r>
              <w:rPr>
                <w:rFonts w:ascii="Times New Roman" w:hAnsi="Times New Roman"/>
                <w:b w:val="0"/>
                <w:color w:val="000000"/>
                <w:sz w:val="21"/>
              </w:rPr>
              <w:t>≥ 50854.38</w:t>
            </w:r>
          </w:p>
        </w:tc>
      </w:tr>
    </w:tbl>
    <w:p>
      <w:pPr>
        <w:widowControl/>
        <w:spacing w:after="120" w:line="259" w:lineRule="auto"/>
      </w:pPr>
    </w:p>
    <w:p>
      <w:pPr>
        <w:widowControl/>
        <w:spacing w:line="259" w:lineRule="auto" w:after="120"/>
        <w:jc w:val="both"/>
      </w:pPr>
      <w:r>
        <w:rPr>
          <w:sz w:val="23"/>
        </w:rPr>
        <w:t>Предварительная серия потребовала 334 497 токенов и 15 обращений. Прогрев — 32 входных и 2 выходных токена, одно обращение, 0,645 секунды. Всего с обеими сериями и прогревом известно не менее 2 690 312 токенов, 155 обращений и 50 854,38 секунды активного времени. Дополнительные расходы не распределялись произвольно между девятью основными повторами.</w:t>
      </w:r>
    </w:p>
    <w:p>
      <w:pPr>
        <w:widowControl/>
        <w:spacing w:line="259" w:lineRule="auto" w:after="120"/>
        <w:jc w:val="both"/>
      </w:pPr>
      <w:r>
        <w:rPr>
          <w:sz w:val="23"/>
        </w:rPr>
        <w:t>Календарно предварительная серия шла 20 октября с 15:52:28 до 17:49:16 по московскому времени, основная — с 18:20:07 20 октября до 20:04:19 21 октября. Эти интервалы включают паузы и чередование запусков; они не равны сумме активного времени. Локальный тариф токенов — 0 долларов. Потребление энергии и стоимость компьютера не измерялись.</w:t>
      </w:r>
    </w:p>
    <w:p>
      <w:pPr>
        <w:widowControl/>
        <w:spacing w:line="259" w:lineRule="auto" w:after="120"/>
      </w:pPr>
      <w:r>
        <w:rPr>
          <w:sz w:val="23"/>
        </w:rPr>
        <w:br w:type="page"/>
      </w:r>
    </w:p>
    <w:p>
      <w:pPr>
        <w:pStyle w:val="Heading1"/>
        <w:widowControl/>
      </w:pPr>
      <w:bookmarkStart w:id="12" w:name="arpo_appendix"/>
      <w:r>
        <w:t>Приложение 2 Исходные тексты запросов</w:t>
      </w:r>
      <w:bookmarkEnd w:id="12"/>
    </w:p>
    <w:p>
      <w:pPr>
        <w:widowControl/>
        <w:jc w:val="both"/>
      </w:pPr>
      <w:r>
        <w:t>Тексты ниже приведены в том виде, в котором использовались в эксперименте. Технические термины и имена методов в них сохранены для точного повторения. Обычный подробный запрос содержит те же 19 содержательных абзацев без заголовков ТЗ; его полный текст находится в experiment/ordinary-long.txt. Он не дублируется здесь второй раз.</w:t>
      </w:r>
    </w:p>
    <w:p>
      <w:pPr>
        <w:pStyle w:val="Heading2"/>
        <w:widowControl/>
      </w:pPr>
      <w:r>
        <w:t>Краткий запрос</w:t>
      </w:r>
    </w:p>
    <w:p>
      <w:pPr>
        <w:widowControl/>
        <w:spacing w:after="100" w:line="259" w:lineRule="auto"/>
      </w:pPr>
      <w:r>
        <w:rPr>
          <w:sz w:val="22"/>
        </w:rPr>
        <w:t>Выполни вторую лабораторную: добавь включение калькуляторов и агрегирование к Bucket sort первой работы и создай Eco.Lab2 по фиксированному ReuseContract.h. Реализуй оба объекта в одном полном SourceFiles/Reuse.c на ANSI C89, следуй CODING_STYLE.md. Соблюдай публичный ABI, правила ACOM и запрет libc. Численные методы первой работы и другие предоставленные файлы не меняй. Верни один полный блок C кода.</w:t>
      </w:r>
    </w:p>
    <w:p>
      <w:pPr>
        <w:pStyle w:val="Heading2"/>
        <w:widowControl/>
      </w:pPr>
      <w:r>
        <w:t>Техническое задание по ГОСТ</w:t>
      </w:r>
    </w:p>
    <w:p>
      <w:pPr>
        <w:widowControl/>
        <w:spacing w:after="100" w:line="259" w:lineRule="auto"/>
      </w:pPr>
      <w:r>
        <w:rPr>
          <w:sz w:val="22"/>
        </w:rPr>
        <w:t>Техническое задание по структуре ГОСТ 19.201-78</w:t>
      </w:r>
    </w:p>
    <w:p>
      <w:pPr>
        <w:keepNext/>
        <w:widowControl/>
        <w:spacing w:after="100" w:line="259" w:lineRule="auto"/>
      </w:pPr>
      <w:r>
        <w:rPr>
          <w:sz w:val="22"/>
        </w:rPr>
        <w:t>1 Введение</w:t>
      </w:r>
    </w:p>
    <w:p>
      <w:pPr>
        <w:widowControl/>
        <w:spacing w:after="100" w:line="259" w:lineRule="auto"/>
      </w:pPr>
      <w:r>
        <w:rPr>
          <w:sz w:val="22"/>
        </w:rPr>
        <w:t>Разработать расширение компонента Bucket sort первой лабораторной и новый внешний компонент Eco.Lab2. Название работы — Включение и агрегирование ACOM. Реализуется статическая библиотека ANSI C89 для macOS Apple Silicon. Прежний BucketMethods.c переиспользуется побайтно, его пять численных методов и опубликованный IEcoLab65 сохраняются. Новая измеряемая работа — оба объекта, поддержка интерфейсов, управление ссылками, создание, включение калькуляторов и агрегирование. Реализацию вернуть одним полным файлом SourceFiles/Reuse.c с #include "ReuseContract.h"; другие файлы не изменять.</w:t>
      </w:r>
    </w:p>
    <w:p>
      <w:pPr>
        <w:keepNext/>
        <w:widowControl/>
        <w:spacing w:after="100" w:line="259" w:lineRule="auto"/>
      </w:pPr>
      <w:r>
        <w:rPr>
          <w:sz w:val="22"/>
        </w:rPr>
        <w:t>2 Основания для разработки</w:t>
      </w:r>
    </w:p>
    <w:p>
      <w:pPr>
        <w:widowControl/>
        <w:spacing w:after="100" w:line="259" w:lineRule="auto"/>
      </w:pPr>
      <w:r>
        <w:rPr>
          <w:sz w:val="22"/>
        </w:rPr>
        <w:t>Основание — предоставленное задание 2 и лекция 04 по проектированию архитектуры программных систем, полученные 20.10.2026. Требования преобразованы организатором в ReuseContract.h; PDF модели не передаются. Автор лабораторной Фирсова Валерия Дмитриевна, группа 24ТИДИ. Разработка выполняется как учебная лабораторная. Исходники калькуляторов взяты из Eco.Education, 001.InsideACOM, уроки 02,03,05,06,07. Они и результат первой работы являются готовыми внешними зависимостями; их повторную генерацию не требуется измерять.</w:t>
      </w:r>
    </w:p>
    <w:p>
      <w:pPr>
        <w:keepNext/>
        <w:widowControl/>
        <w:spacing w:after="100" w:line="259" w:lineRule="auto"/>
      </w:pPr>
      <w:r>
        <w:rPr>
          <w:sz w:val="22"/>
        </w:rPr>
        <w:t>3 Назначение разработки</w:t>
      </w:r>
    </w:p>
    <w:p>
      <w:pPr>
        <w:widowControl/>
        <w:spacing w:after="100" w:line="259" w:lineRule="auto"/>
      </w:pPr>
      <w:r>
        <w:rPr>
          <w:sz w:val="22"/>
        </w:rPr>
        <w:t>Показать повторное использование реализации без наследования реализации и без копирования арифметики калькуляторов в свой объект. Клиент должен через реальную IEcoInterfaceBus1 создать Lab65 и Lab2 и получить любой поддерживаемый публичный интерфейс из любого другого. Общие статические фабрики, IID/CID, ABI и демонстрационный клиент уже предоставлены; код обоих объектов, lifetime и composition должна написать модель. Не считайте арифметически правильную заглушку доказательством включения или агрегирования.</w:t>
      </w:r>
    </w:p>
    <w:p>
      <w:pPr>
        <w:keepNext/>
        <w:widowControl/>
        <w:spacing w:after="100" w:line="259" w:lineRule="auto"/>
      </w:pPr>
      <w:r>
        <w:rPr>
          <w:sz w:val="22"/>
        </w:rPr>
        <w:t>4 Требования к программе</w:t>
      </w:r>
    </w:p>
    <w:p>
      <w:pPr>
        <w:widowControl/>
        <w:spacing w:after="100" w:line="259" w:lineRule="auto"/>
      </w:pPr>
      <w:r>
        <w:rPr>
          <w:sz w:val="22"/>
        </w:rPr>
        <w:t>Реализовать createEcoLab65(system,outer,iid,out), createEcoLab2(system,outer,iid,out) и lab_allocator(IEcoLab65*) с буквальными сигнатурами ReuseContract.h. Статические фабрики вызывают эти функции и уже поставлены; не меняйте их. Публичный IEcoLab65 имеет ровно прежние пять методов сортировки, IEcoLab2 имеет GetVersion с результатом 2. Дополнительных публичных методов и новых IID не добавлять.</w:t>
      </w:r>
    </w:p>
    <w:p>
      <w:pPr>
        <w:keepNext/>
        <w:widowControl/>
        <w:spacing w:after="100" w:line="259" w:lineRule="auto"/>
      </w:pPr>
      <w:r>
        <w:rPr>
          <w:sz w:val="22"/>
        </w:rPr>
        <w:t>4.1 Функциональные характеристики</w:t>
      </w:r>
    </w:p>
    <w:p>
      <w:pPr>
        <w:widowControl/>
        <w:spacing w:after="100" w:line="259" w:lineRule="auto"/>
      </w:pPr>
      <w:r>
        <w:rPr>
          <w:sz w:val="22"/>
        </w:rPr>
        <w:t>Lab65 включает IEcoCalculatorX компонента A и IEcoCalculatorY компонента D. Его публичные X/Y — собственные обёртки, действительно передающие вызовы соответствующему внутреннему интерфейсу. В профиле C вместо A по тому же опубликованному CID создаётся оригинальный C. D сам включает B. Lab2 включает Y компонента E и агрегирует Lab65. Его X/Y — собственные обёртки для X/Y экземпляра E; E сам агрегирует B. Публичный IEcoLab65 у Lab2 отдаётся непосредственно из агрегированного Lab65, без собственной повторной реализации численных методов. Все внутренние объекты получать через QueryComponent. Итого профили A и C вместе демонстрируют реальные A,B,C,D,E и компонент первой лабораторной.</w:t>
      </w:r>
    </w:p>
    <w:p>
      <w:pPr>
        <w:keepNext/>
        <w:widowControl/>
        <w:spacing w:after="100" w:line="259" w:lineRule="auto"/>
      </w:pPr>
      <w:r>
        <w:rPr>
          <w:sz w:val="22"/>
        </w:rPr>
        <w:t>4.1.1 Алгоритм создания и агрегирования</w:t>
      </w:r>
    </w:p>
    <w:p>
      <w:pPr>
        <w:widowControl/>
        <w:spacing w:after="100" w:line="259" w:lineRule="auto"/>
      </w:pPr>
      <w:r>
        <w:rPr>
          <w:sz w:val="22"/>
        </w:rPr>
        <w:t>Для каждого объекта храните собственное состояние с явными таблицами интерфейсов и счётчиком локальных ссылок. Получайте IEcoSystem1 и шину через QueryInterface, аллокатор через QueryComponent. Идентификатор менеджера из необязательного IEcoInterfaceBus1MemExt скопируйте по значению до Release extension; при ERR_ECO_NOINTERFACE используйте CID_EcoMemoryManager1. Заполняйте поля после успешного Alloc, явно обнуляйте внутренние указатели и создавайте зависимости до публикации объекта. Не приводите несвязанный system/unknown к другому интерфейсу вместо QI. Все acquired references имеют отдельного владельца и cleanup.</w:t>
      </w:r>
    </w:p>
    <w:p>
      <w:pPr>
        <w:keepNext/>
        <w:widowControl/>
        <w:spacing w:after="100" w:line="259" w:lineRule="auto"/>
      </w:pPr>
      <w:r>
        <w:rPr>
          <w:sz w:val="22"/>
        </w:rPr>
        <w:t>4.1.2 Делегирующий и неделегирующий unknown</w:t>
      </w:r>
    </w:p>
    <w:p>
      <w:pPr>
        <w:widowControl/>
        <w:spacing w:after="100" w:line="259" w:lineRule="auto"/>
      </w:pPr>
      <w:r>
        <w:rPr>
          <w:sz w:val="22"/>
        </w:rPr>
        <w:t>Lab65 должен иметь отдельный приватный неделегирующий IEcoUnknown с собственным QI/AddRef/Release и публичные Lab65,X,Y, чьи QI/AddRef/Release всегда обращаются к controlling unknown. При outer=0 controlling unknown равен собственному неделегирующему unknown; при outer!=0 равен outer без AddRef outer, иначе возникнет цикл. Создание Lab65 с outer допускается только при IID_IEcoUnknown; вернуть именно приватный unknown с одной локальной ссылкой. Неделегирующий QI для публичного интерфейса вызывает его делегирующий AddRef, а для приватного unknown увеличивает локальный счётчик. Lab2 не поддерживает внешнее агрегирование и отклоняет любой outer. При агрегировании Lab65 он передаёт собственный canonical unknown и IID_IEcoUnknown, хранит только приватный unknown внутреннего объекта. В QI(Lab65) вызывает этот приватный QI и отдаёт полученный публичный интерфейс. Не храните постоянную делегирующую публичную ссылку на собственного агрегата: она увеличит счётчик внешнего объекта и создаст цикл.</w:t>
      </w:r>
    </w:p>
    <w:p>
      <w:pPr>
        <w:keepNext/>
        <w:widowControl/>
        <w:spacing w:after="100" w:line="259" w:lineRule="auto"/>
      </w:pPr>
      <w:r>
        <w:rPr>
          <w:sz w:val="22"/>
        </w:rPr>
        <w:t>4.1.3 Арифметика и сортировка</w:t>
      </w:r>
    </w:p>
    <w:p>
      <w:pPr>
        <w:widowControl/>
        <w:spacing w:after="100" w:line="259" w:lineRule="auto"/>
      </w:pPr>
      <w:r>
        <w:rPr>
          <w:sz w:val="22"/>
        </w:rPr>
        <w:t>Вызовы Addition/Subtraction/Multiplication/Division должны фактически доходить до выбранного внутреннего компонента; тесты подменяют его арифметические слоты на отличимые результаты. Самостоятельно вычислять a+b и подобные операции вместо делегирования запрещено. В тестовой области a,b от -100 до 100, делитель ненулевой; результаты вычитания и деления укладываются в int16_t, сложения и умножения — int32_t согласно реальному ABI. Сортировка работает через неизменные lab_sort_int/long/float/double/long_double и lab_allocator: использует прежние типы и контракт ошибок. Операции не должны изменять исходные значения или заменять распределительную сортировку.</w:t>
      </w:r>
    </w:p>
    <w:p>
      <w:pPr>
        <w:keepNext/>
        <w:widowControl/>
        <w:spacing w:after="100" w:line="259" w:lineRule="auto"/>
      </w:pPr>
      <w:r>
        <w:rPr>
          <w:sz w:val="22"/>
        </w:rPr>
        <w:t>4.2 Надёжность</w:t>
      </w:r>
    </w:p>
    <w:p>
      <w:pPr>
        <w:widowControl/>
        <w:spacing w:after="100" w:line="259" w:lineRule="auto"/>
      </w:pPr>
      <w:r>
        <w:rPr>
          <w:sz w:val="22"/>
        </w:rPr>
        <w:t>Каждый успешный QI выдаёт ровно одну владеющую ссылку. Из всех публичных интерфейсов одного экземпляра QI(Unknown) возвращает один и тот же адрес; поддерживаемый набор статичен, переходы рефлексивны, симметричны, транзитивны. При неподдерживаемом IID, null iid или неверных аргументах очистите *out до возврата ошибки. Ошибка создания не публикует частичный объект. Освобождение начального интерфейса не уничтожает объект, пока клиент держит другой интерфейс. После последнего Release освобождаются все owned inner interfaces, приватный unknown агрегата, память и системные ссылки. Сначала Free(object) через сохранённый allocator, затем Release allocator. На любой ошибке — полный cleanup успешно полученных зависимостей. Не освобождайте borrowed outer и не делайте AddRef outer при его сохранении.</w:t>
      </w:r>
    </w:p>
    <w:p>
      <w:pPr>
        <w:keepNext/>
        <w:widowControl/>
        <w:spacing w:after="100" w:line="259" w:lineRule="auto"/>
      </w:pPr>
      <w:r>
        <w:rPr>
          <w:sz w:val="22"/>
        </w:rPr>
        <w:t>4.3 Условия эксплуатации</w:t>
      </w:r>
    </w:p>
    <w:p>
      <w:pPr>
        <w:widowControl/>
        <w:spacing w:after="100" w:line="259" w:lineRule="auto"/>
      </w:pPr>
      <w:r>
        <w:rPr>
          <w:sz w:val="22"/>
        </w:rPr>
        <w:t>Однопоточный консольный процесс macOS Apple Silicon. Конкурентное использование и marshal между процессами вне объёма. Пользователь умеет собрать статический компонент через штатный clang и отдельно полученный Eco SDK. Сеть при выполнении компонента не нужна; PDF, Git и модель не являются runtime-зависимостями реализации.</w:t>
      </w:r>
    </w:p>
    <w:p>
      <w:pPr>
        <w:keepNext/>
        <w:widowControl/>
        <w:spacing w:after="100" w:line="259" w:lineRule="auto"/>
      </w:pPr>
      <w:r>
        <w:rPr>
          <w:sz w:val="22"/>
        </w:rPr>
        <w:t>4.4 Технические средства</w:t>
      </w:r>
    </w:p>
    <w:p>
      <w:pPr>
        <w:widowControl/>
        <w:spacing w:after="100" w:line="259" w:lineRule="auto"/>
      </w:pPr>
      <w:r>
        <w:rPr>
          <w:sz w:val="22"/>
        </w:rPr>
        <w:t>Разработка и измерения локальной модели выполняются на Apple M4 Pro с 24 GiB RAM. Компонент использует только Eco SDK, на платформе long 64-битный, long double эквивалентен double. Для объекта и временной памяти используйте IEcoMemoryAllocator1. Не фиксируйте адреса, размеры конкретных объектов или пути ноутбука в исходнике.</w:t>
      </w:r>
    </w:p>
    <w:p>
      <w:pPr>
        <w:keepNext/>
        <w:widowControl/>
        <w:spacing w:after="100" w:line="259" w:lineRule="auto"/>
      </w:pPr>
      <w:r>
        <w:rPr>
          <w:sz w:val="22"/>
        </w:rPr>
        <w:t>4.5 Совместимость</w:t>
      </w:r>
    </w:p>
    <w:p>
      <w:pPr>
        <w:widowControl/>
        <w:spacing w:after="100" w:line="259" w:lineRule="auto"/>
      </w:pPr>
      <w:r>
        <w:rPr>
          <w:sz w:val="22"/>
        </w:rPr>
        <w:t>Строгий ANSI C89: объявления в начале блока, нет //, inline, C99-конструкций и ULL литералов. Использовать ECOCALLMETHOD и реальные SDK ошибки/типы, буквальные IID/CID, порядок слотов и сигнатуры. Не включать стандартные заголовки, не вызывать libc, math.h, сторонние функции или стандартный allocator в компоненте. Вычисляйте адрес владельца дополнительного интерфейса через байтовое смещение внутри собственного объекта; не путайте приватный unknown с первым интерфейсом. A и C намеренно имеют одинаковый CID в учебном комплекте; профили их разделяют. C/D имеют дефект canonical Unknown через собственный Y: их интерфейсы остаются приватными за обёртками, наружу их raw Y не выдавать. Публичные интерфейсы нашей лабораторной должны полностью удовлетворять identity и lifetime независимо от этих дефектов поставщика.</w:t>
      </w:r>
    </w:p>
    <w:p>
      <w:pPr>
        <w:keepNext/>
        <w:widowControl/>
        <w:spacing w:after="100" w:line="259" w:lineRule="auto"/>
      </w:pPr>
      <w:r>
        <w:rPr>
          <w:sz w:val="22"/>
        </w:rPr>
        <w:t>4.6 Маркировка и упаковка</w:t>
      </w:r>
    </w:p>
    <w:p>
      <w:pPr>
        <w:widowControl/>
        <w:spacing w:after="100" w:line="259" w:lineRule="auto"/>
      </w:pPr>
      <w:r>
        <w:rPr>
          <w:sz w:val="22"/>
        </w:rPr>
        <w:t>Один полный файл SourceFiles/Reuse.c, с понятными именами, небольшими функциями и комментариями о владении и инвариантах. Следовать общему CODING_STYLE.md. Не подменять файл фрагментами, многоточиями или инструкциями вставить код. Существующие контракт, фабрики, SDK, Vendor, численные методы и независимые проверки не менять.</w:t>
      </w:r>
    </w:p>
    <w:p>
      <w:pPr>
        <w:keepNext/>
        <w:widowControl/>
        <w:spacing w:after="100" w:line="259" w:lineRule="auto"/>
      </w:pPr>
      <w:r>
        <w:rPr>
          <w:sz w:val="22"/>
        </w:rPr>
        <w:t>4.7 Транспортирование и хранение</w:t>
      </w:r>
    </w:p>
    <w:p>
      <w:pPr>
        <w:widowControl/>
        <w:spacing w:after="100" w:line="259" w:lineRule="auto"/>
      </w:pPr>
      <w:r>
        <w:rPr>
          <w:sz w:val="22"/>
        </w:rPr>
        <w:t>Артефакты сохраняются как UTF-8 исходники и статическая сборка. Локальные пути SDK и модели в исходники не встраиваются. SDK и веса не распространяются в публичном архиве. Сохранность контрольных сумм общих зависимостей проверяется организатором.</w:t>
      </w:r>
    </w:p>
    <w:p>
      <w:pPr>
        <w:keepNext/>
        <w:widowControl/>
        <w:spacing w:after="100" w:line="259" w:lineRule="auto"/>
      </w:pPr>
      <w:r>
        <w:rPr>
          <w:sz w:val="22"/>
        </w:rPr>
        <w:t>4.8 Специальные требования</w:t>
      </w:r>
    </w:p>
    <w:p>
      <w:pPr>
        <w:widowControl/>
        <w:spacing w:after="100" w:line="259" w:lineRule="auto"/>
      </w:pPr>
      <w:r>
        <w:rPr>
          <w:sz w:val="22"/>
        </w:rPr>
        <w:t>Успех определяется независимыми сборкой, проверками жизненного цикла, матрицами переходов, настоящей регистрацией и замерами, а не текстом ответа. Не предоставлять собственный main: вход EcoMain и стандартную точку входа поставляет Eco.System1. Общий каркас не содержит решения включения/агрегирования; его необходимо завершить. Ответ должен содержать только один полный блок C кода для Reuse.c.</w:t>
      </w:r>
    </w:p>
    <w:p>
      <w:pPr>
        <w:keepNext/>
        <w:widowControl/>
        <w:spacing w:after="100" w:line="259" w:lineRule="auto"/>
      </w:pPr>
      <w:r>
        <w:rPr>
          <w:sz w:val="22"/>
        </w:rPr>
        <w:t>5 Требования к программной документации</w:t>
      </w:r>
    </w:p>
    <w:p>
      <w:pPr>
        <w:widowControl/>
        <w:spacing w:after="100" w:line="259" w:lineRule="auto"/>
      </w:pPr>
      <w:r>
        <w:rPr>
          <w:sz w:val="22"/>
        </w:rPr>
        <w:t>В исходнике поясните структуру двух объектов, различие containment/aggregation, владение внутренними ссылками и освобождение ресурсов. Word-отчёты и графики пишет организатор по реальным результатам, локальная модель их не пишет. Не утверждайте, что проверки были выполнены вами, если нет их результатов от обёртки.</w:t>
      </w:r>
    </w:p>
    <w:p>
      <w:pPr>
        <w:keepNext/>
        <w:widowControl/>
        <w:spacing w:after="100" w:line="259" w:lineRule="auto"/>
      </w:pPr>
      <w:r>
        <w:rPr>
          <w:sz w:val="22"/>
        </w:rPr>
        <w:t>6 Технико экономические показатели</w:t>
      </w:r>
    </w:p>
    <w:p>
      <w:pPr>
        <w:widowControl/>
        <w:spacing w:after="100" w:line="259" w:lineRule="auto"/>
      </w:pPr>
      <w:r>
        <w:rPr>
          <w:sz w:val="22"/>
        </w:rPr>
        <w:t>Обёртка измеряет все HTTP, токены usage, активное время и уточнения, включая неудачи. Локальный тариф 0 USD не равен нулевому потреблению энергии или стоимости компьютера. Нельзя объявлять конкретную скорость, полноту или выигрыш без независимого измерения. Дополнительная память объекта постоянна относительно числа сортируемых элементов; прежняя сортировка сохраняет собственную O(n+B) временную память.</w:t>
      </w:r>
    </w:p>
    <w:p>
      <w:pPr>
        <w:keepNext/>
        <w:widowControl/>
        <w:spacing w:after="100" w:line="259" w:lineRule="auto"/>
      </w:pPr>
      <w:r>
        <w:rPr>
          <w:sz w:val="22"/>
        </w:rPr>
        <w:t>7 Стадии и этапы разработки</w:t>
      </w:r>
    </w:p>
    <w:p>
      <w:pPr>
        <w:widowControl/>
        <w:spacing w:after="100" w:line="259" w:lineRule="auto"/>
      </w:pPr>
      <w:r>
        <w:rPr>
          <w:sz w:val="22"/>
        </w:rPr>
        <w:t>Последовательно спроектировать состояние объектов, реализовать QI и lifetime, создание с cleanup, включение и агрегирование, соединить прежние методы сортировки, затем исправлять фактическую диагностику независимых проверок в том же запуске. Все полные ответы, неудачи и уточнения сохраняются. Перезапуск с чистой историей вместо учёта неудач недопустим.</w:t>
      </w:r>
    </w:p>
    <w:p>
      <w:pPr>
        <w:keepNext/>
        <w:widowControl/>
        <w:spacing w:after="100" w:line="259" w:lineRule="auto"/>
      </w:pPr>
      <w:r>
        <w:rPr>
          <w:sz w:val="22"/>
        </w:rPr>
        <w:t>8 Порядок контроля и приёмки</w:t>
      </w:r>
    </w:p>
    <w:p>
      <w:pPr>
        <w:widowControl/>
        <w:spacing w:after="100" w:line="259" w:lineRule="auto"/>
      </w:pPr>
      <w:r>
        <w:rPr>
          <w:sz w:val="22"/>
        </w:rPr>
        <w:t>Одинаковые независимые проверки для всех веток: два реальных registry профиля A/C; матрицы Unknown/Lab65/X/Y и дополнительно Lab2; canonical identity; повторяемость, отказы и очистка out; управление ссылками и жизнь при освобождении начального интерфейса; внешний тестовый controller для агрегированного Lab65; доказательство передачи вызовов настоящим калькуляторам; проверка четырёх операций и пяти численных типов против независимого эталона; ошибки приобретения прямых зависимостей и первого Alloc; полное освобождение. Проверяется C89 и отсутствие libc, UBSan и неизменность общих файлов. Полный набор тестов вне workspace модели; она получает только диагностику. Сдаётся работа, у которой все запуски прошли эти проверки и ручной анализ архитектуры, а не только арифметические примеры.</w:t>
      </w:r>
    </w:p>
    <w:sectPr w:rsidR="00FC693F" w:rsidRPr="0006063C" w:rsidSect="00034616">
      <w:headerReference w:type="default" r:id="rId9"/>
      <w:headerReference w:type="even" r:id="rId10"/>
      <w:headerReference w:type="first" r:id="rId11"/>
      <w:footerReference w:type="default" r:id="rId12"/>
      <w:pgSz w:w="11906" w:h="16838"/>
      <w:pgMar w:top="1134" w:right="113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Times New Roman" w:hAnsi="Times New Roman" w:eastAsia="Times New Roman" w:cs="Times New Roman"/>
      <w:color w:val="000000"/>
      <w:sz w:val="24"/>
      <w:lang w:val="ru-RU"/>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rPr>
      <w:rFonts w:ascii="Times New Roman" w:hAnsi="Times New Roman" w:eastAsia="Times New Roman"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rPr>
      <w:rFonts w:ascii="Times New Roman" w:hAnsi="Times New Roman" w:eastAsia="Times New Roman" w:cs="Times New Roman"/>
    </w:rPr>
  </w:style>
  <w:style w:type="paragraph" w:styleId="Heading1">
    <w:name w:val="heading 1"/>
    <w:basedOn w:val="Normal"/>
    <w:next w:val="Normal"/>
    <w:link w:val="Heading1Char"/>
    <w:uiPriority w:val="9"/>
    <w:qFormat/>
    <w:rsid w:val="00FC693F"/>
    <w:pPr>
      <w:keepNext/>
      <w:keepLines/>
      <w:spacing w:before="240" w:after="140"/>
      <w:outlineLvl w:val="0"/>
    </w:pPr>
    <w:rPr>
      <w:rFonts w:cstheme="majorBidi"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cstheme="majorBidi"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Times New Roman" w:cs="Times New Roman"/>
    </w:rPr>
  </w:style>
  <w:style w:type="table" w:default="1" w:styleId="TableNormal">
    <w:name w:val="Normal Table"/>
    <w:uiPriority w:val="99"/>
    <w:semiHidden/>
    <w:unhideWhenUsed/>
    <w:rPr>
      <w:rFonts w:ascii="Times New Roman" w:hAnsi="Times New Roman" w:eastAsia="Times New Roman" w:cs="Times New Roman"/>
    </w:rPr>
    <w:tblPr>
      <w:tblInd w:w="0" w:type="dxa"/>
      <w:tblCellMar>
        <w:top w:w="0" w:type="dxa"/>
        <w:left w:w="108" w:type="dxa"/>
        <w:bottom w:w="0" w:type="dxa"/>
        <w:right w:w="108" w:type="dxa"/>
      </w:tblCellMar>
    </w:tblPr>
  </w:style>
  <w:style w:type="numbering" w:default="1" w:styleId="NoList">
    <w:name w:val="No List"/>
    <w:uiPriority w:val="99"/>
    <w:semiHidden/>
    <w:unhideWhenUsed/>
    <w:rPr>
      <w:rFonts w:ascii="Times New Roman" w:hAnsi="Times New Roman" w:eastAsia="Times New Roman" w:cs="Times New Roman"/>
    </w:rPr>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cstheme="majorBidi"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cstheme="majorBidi" w:ascii="Times New Roman" w:hAnsi="Times New Roman" w:eastAsia="Times New Roman" w:cs="Times New Roman"/>
      <w:color w:val="000000"/>
      <w:spacing w:val="5"/>
      <w:kern w:val="28"/>
      <w:sz w:val="38"/>
      <w:szCs w:val="52"/>
    </w:rPr>
  </w:style>
  <w:style w:type="character" w:customStyle="1" w:styleId="TitleChar">
    <w:name w:val="Title Char"/>
    <w:basedOn w:val="DefaultParagraphFont"/>
    <w:link w:val="Title"/>
    <w:uiPriority w:val="10"/>
    <w:rsid w:val="00FC693F"/>
    <w:rPr>
      <w:rFonts w:cstheme="majorBidi"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cstheme="majorBidi" w:ascii="Times New Roman" w:hAnsi="Times New Roman" w:eastAsia="Times New Roman" w:cs="Times New Roman"/>
      <w:i/>
      <w:iCs/>
      <w:color w:val="000000"/>
      <w:spacing w:val="15"/>
      <w:sz w:val="28"/>
      <w:szCs w:val="24"/>
    </w:rPr>
  </w:style>
  <w:style w:type="character" w:customStyle="1" w:styleId="SubtitleChar">
    <w:name w:val="Subtitle Char"/>
    <w:basedOn w:val="DefaultParagraphFont"/>
    <w:link w:val="Subtitle"/>
    <w:uiPriority w:val="11"/>
    <w:rsid w:val="00FC693F"/>
    <w:rPr>
      <w:rFonts w:cstheme="majorBidi"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rPr>
      <w:rFonts w:ascii="Times New Roman" w:hAnsi="Times New Roman" w:eastAsia="Times New Roman"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rPr>
      <w:rFonts w:ascii="Times New Roman" w:hAnsi="Times New Roman" w:eastAsia="Times New Roman"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Times New Roman"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Times New Roman" w:cs="Times New Roman"/>
      <w:i/>
      <w:iCs/>
      <w:color w:val="000000" w:themeColor="text1"/>
    </w:rPr>
  </w:style>
  <w:style w:type="character" w:customStyle="1" w:styleId="Heading4Char">
    <w:name w:val="Heading 4 Char"/>
    <w:basedOn w:val="DefaultParagraphFont"/>
    <w:link w:val="Heading4"/>
    <w:uiPriority w:val="9"/>
    <w:semiHidden/>
    <w:rsid w:val="00FC693F"/>
    <w:rPr>
      <w:rFonts w:cstheme="majorBidi"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Times New Roman" w:cs="Times New Roman"/>
      <w:b/>
      <w:bCs/>
    </w:rPr>
  </w:style>
  <w:style w:type="character" w:styleId="Emphasis">
    <w:name w:val="Emphasis"/>
    <w:basedOn w:val="DefaultParagraphFont"/>
    <w:uiPriority w:val="20"/>
    <w:qFormat/>
    <w:rsid w:val="00FC693F"/>
    <w:rPr>
      <w:rFonts w:ascii="Times New Roman" w:hAnsi="Times New Roman" w:eastAsia="Times New Roman" w:cs="Times New Roman"/>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Times New Roman"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Times New Roman"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Times New Roman"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Times New Roman"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Times New Roman"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Times New Roman"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Times New Roman" w:hAnsi="Times New Roman" w:eastAsia="Times New Roman"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Times New Roman"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Times New Roman"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Times New Roman"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Times New Roman"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Times New Roman"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Times New Roman"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hAnsi="Times New Roman" w:eastAsia="Times New Roman" w:cs="Times New Roman"/>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Times New Roman"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hyperlink" Target="https://github.com/Dorila24/-software-architecture_lab1_bucket-sort" TargetMode="External"/><Relationship Id="rId16" Type="http://schemas.openxmlformats.org/officeDocument/2006/relationships/hyperlink" Target="https://github.com/Dorila24/-software-architecture_lab1_bucket-sort/tree/main/lab2" TargetMode="External"/><Relationship Id="rId17" Type="http://schemas.openxmlformats.org/officeDocument/2006/relationships/hyperlink" Target="https://github.com/peerf-eco/Eco.Education/tree/7f1664b0489bcea6d5b211807ea5cb0ce0e1068e/Eco.Pro.Training/001.InsideACOM" TargetMode="External"/><Relationship Id="rId18" Type="http://schemas.openxmlformats.org/officeDocument/2006/relationships/hyperlink" Target="https://github.com/Dezmant8/ARPO_solver_macos/commit/703b25815adfe0c75471a7b9ffb67b3eb980c44c" TargetMode="External"/><Relationship Id="rId19" Type="http://schemas.openxmlformats.org/officeDocument/2006/relationships/hyperlink" Target="https://protect.gost.ru/gost/details/b64061cf-6bb2-4c75-aee9-18bb5e26e554" TargetMode="External"/><Relationship Id="rId20" Type="http://schemas.openxmlformats.org/officeDocument/2006/relationships/hyperlink" Target="https://www.swrit.ru/doc/espd/19.201-78.pdf" TargetMode="External"/><Relationship Id="rId21" Type="http://schemas.openxmlformats.org/officeDocument/2006/relationships/hyperlink" Target="https://github.com/Dorila24/-software-architecture_lab1_bucket-sort/tree/0c08f541e0f47ac544685b93c43f0e0cdd5b0f71" TargetMode="External"/><Relationship Id="rId22" Type="http://schemas.openxmlformats.org/officeDocument/2006/relationships/hyperlink" Target="https://huggingface.co/mlx-community/Qwen2.5-Coder-14B-Instruct-4bit/tree/29efdbab55a161237ab1e432a3abaf6c7ae2b47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Включение и агрегирование компонентов ACOM — Сравнение запросов к локальной модели</dc:title>
  <dc:subject>Вторая лабораторная работа по архитектуре программного обеспечения</dc:subject>
  <dc:creator>Фирсова Валерия Дмитриевна</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