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ЛАБОРАТОРНАЯ РАБОТА 2</w:t>
      </w:r>
    </w:p>
    <w:p>
      <w:pPr>
        <w:pStyle w:val="Title"/>
        <w:jc w:val="center"/>
      </w:pPr>
      <w:r>
        <w:t>Включение и агрегирование компонентов ACOM</w:t>
      </w:r>
    </w:p>
    <w:p>
      <w:pPr>
        <w:pStyle w:val="Subtitle"/>
        <w:jc w:val="center"/>
      </w:pPr>
      <w:r>
        <w:t>Сравнительный отчёт</w:t>
      </w:r>
    </w:p>
    <w:p>
      <w:pPr>
        <w:jc w:val="center"/>
      </w:pPr>
      <w:r>
        <w:t>На основе темы 65 «Блочная сортировка / Bucket sort»</w:t>
      </w:r>
    </w:p>
    <w:p>
      <w:pPr>
        <w:jc w:val="both"/>
      </w:pPr>
      <w:r>
        <w:t>Выполнила: Фирсова Валерия Дмитриевна</w:t>
      </w:r>
    </w:p>
    <w:p>
      <w:pPr>
        <w:jc w:val="both"/>
      </w:pPr>
      <w:r>
        <w:t>Группа: 24ТИДИ</w:t>
      </w:r>
    </w:p>
    <w:p>
      <w:pPr>
        <w:jc w:val="both"/>
      </w:pPr>
      <w:r>
        <w:t>Измерения начаты: 20.10.2026. Отчёт подготовлен: 21.10.2026.</w:t>
      </w:r>
    </w:p>
    <w:p>
      <w:pPr>
        <w:jc w:val="both"/>
      </w:pPr>
      <w:r>
        <w:t>Все девять независимых реализаций после учитываемых уточнений прошли проверки и ручную приёмку: по три повтора краткого промпта, ТЗ по ГОСТ и контрольного обычного длинного промпта. Подтверждены включение калькуляторов и настоящее агрегирование компонента первой работы. Медианы известного активного времени доведения: краткого промпта — 82.46 мин; ТЗ по ГОСТ — 76.36 мин; обычного длинного промпта — не менее 87.96 мин. Ни один первый ответ не прошёл сборку. ГОСТ помог структурировать требования, но эта серия не доказывает его самостоятельного преимущества: исправления были адаптивными, выборка мала, часть учёта неполна. Измерения сортировки относятся к неизменному алгоритму первой работы.</w:t>
      </w:r>
    </w:p>
    <w:p>
      <w:pPr>
        <w:jc w:val="both"/>
      </w:pPr>
      <w:r>
        <w:t>Основные результаты. Медианы трёх независимых повторов включают неудачные ответы и все продолжения до приёмки.</w:t>
      </w:r>
    </w:p>
    <w:tbl>
      <w:tblPr>
        <w:tblW w:type="auto" w:w="0"/>
        <w:jc w:val="center"/>
        <w:tblLayout w:type="fixed"/>
        <w:tblLook w:firstColumn="1" w:firstRow="1" w:lastColumn="0" w:lastRow="0" w:noHBand="0" w:noVBand="1" w:val="04A0"/>
      </w:tblPr>
      <w:tblGrid>
        <w:gridCol w:w="2551"/>
        <w:gridCol w:w="850"/>
        <w:gridCol w:w="2211"/>
        <w:gridCol w:w="1247"/>
        <w:gridCol w:w="2494"/>
      </w:tblGrid>
      <w:tr>
        <w:trPr>
          <w:cantSplit/>
          <w:tblHeader/>
        </w:trPr>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left"/>
            </w:pPr>
            <w:r>
              <w:rPr>
                <w:rFonts w:ascii="Times New Roman" w:hAnsi="Times New Roman"/>
                <w:b/>
                <w:color w:val="000000"/>
                <w:sz w:val="21"/>
              </w:rPr>
              <w:t>Подход</w:t>
            </w:r>
          </w:p>
        </w:tc>
        <w:tc>
          <w:tcPr>
            <w:tcW w:type="dxa" w:w="8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Итог</w:t>
            </w:r>
          </w:p>
        </w:tc>
        <w:tc>
          <w:tcPr>
            <w:tcW w:type="dxa" w:w="221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Известные токены медиана</w:t>
            </w:r>
          </w:p>
        </w:tc>
        <w:tc>
          <w:tcPr>
            <w:tcW w:type="dxa" w:w="124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API медиана</w:t>
            </w:r>
          </w:p>
        </w:tc>
        <w:tc>
          <w:tcPr>
            <w:tcW w:type="dxa" w:w="249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Известно активно минут медиана</w:t>
            </w:r>
          </w:p>
        </w:tc>
      </w:tr>
      <w:tr>
        <w:trPr>
          <w:cantSplit/>
        </w:trPr>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8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3/3</w:t>
            </w:r>
          </w:p>
        </w:tc>
        <w:tc>
          <w:tcPr>
            <w:tcW w:type="dxa" w:w="221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237721</w:t>
            </w:r>
          </w:p>
        </w:tc>
        <w:tc>
          <w:tcPr>
            <w:tcW w:type="dxa" w:w="124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15</w:t>
            </w:r>
          </w:p>
        </w:tc>
        <w:tc>
          <w:tcPr>
            <w:tcW w:type="dxa" w:w="249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82.46</w:t>
            </w:r>
          </w:p>
        </w:tc>
      </w:tr>
      <w:tr>
        <w:trPr>
          <w:cantSplit/>
        </w:trPr>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8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3/3</w:t>
            </w:r>
          </w:p>
        </w:tc>
        <w:tc>
          <w:tcPr>
            <w:tcW w:type="dxa" w:w="221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263723</w:t>
            </w:r>
          </w:p>
        </w:tc>
        <w:tc>
          <w:tcPr>
            <w:tcW w:type="dxa" w:w="124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15</w:t>
            </w:r>
          </w:p>
        </w:tc>
        <w:tc>
          <w:tcPr>
            <w:tcW w:type="dxa" w:w="249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76.36</w:t>
            </w:r>
          </w:p>
        </w:tc>
      </w:tr>
      <w:tr>
        <w:trPr>
          <w:cantSplit/>
        </w:trPr>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8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3/3</w:t>
            </w:r>
          </w:p>
        </w:tc>
        <w:tc>
          <w:tcPr>
            <w:tcW w:type="dxa" w:w="221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275732</w:t>
            </w:r>
          </w:p>
        </w:tc>
        <w:tc>
          <w:tcPr>
            <w:tcW w:type="dxa" w:w="124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16</w:t>
            </w:r>
          </w:p>
        </w:tc>
        <w:tc>
          <w:tcPr>
            <w:tcW w:type="dxa" w:w="249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87.96</w:t>
            </w:r>
          </w:p>
        </w:tc>
      </w:tr>
    </w:tbl>
    <w:p>
      <w:pPr>
        <w:spacing w:after="20"/>
      </w:pPr>
    </w:p>
    <w:p>
      <w:pPr>
        <w:jc w:val="both"/>
      </w:pPr>
      <w:r>
        <w:t>Знак ≥ обозначает нижнюю границу при неполных данных. Один транспортный сбой не вернул usage, у одной прерванной сессии неизвестны usage и длительность; её API попытка учтена отдельно. Сохранённые запросы, время и границы сравнения раскрыты в разделах 5–7. Схема ACOM и интерфейсы — раздел 2, независимые проверки — раздел 4, производительность — раздел 8, файлы и воспроизводимость — раздел 10.</w:t>
      </w:r>
    </w:p>
    <w:p>
      <w:hyperlink w:anchor="arpo_section_2">
        <w:r>
          <w:rPr>
            <w:color w:val="365D83"/>
            <w:u w:val="single"/>
          </w:rPr>
          <w:t>Схема ACOM</w:t>
        </w:r>
      </w:hyperlink>
      <w:r>
        <w:t xml:space="preserve">   ·   </w:t>
      </w:r>
      <w:hyperlink w:anchor="arpo_section_4">
        <w:r>
          <w:rPr>
            <w:color w:val="365D83"/>
            <w:u w:val="single"/>
          </w:rPr>
          <w:t>Проверки</w:t>
        </w:r>
      </w:hyperlink>
      <w:r>
        <w:t xml:space="preserve">   ·   </w:t>
      </w:r>
      <w:hyperlink w:anchor="arpo_section_5">
        <w:r>
          <w:rPr>
            <w:color w:val="365D83"/>
            <w:u w:val="single"/>
          </w:rPr>
          <w:t>Метрики</w:t>
        </w:r>
      </w:hyperlink>
      <w:r>
        <w:t xml:space="preserve">   ·   </w:t>
      </w:r>
      <w:hyperlink w:anchor="arpo_section_7">
        <w:r>
          <w:rPr>
            <w:color w:val="365D83"/>
            <w:u w:val="single"/>
          </w:rPr>
          <w:t>ГОСТ</w:t>
        </w:r>
      </w:hyperlink>
      <w:r>
        <w:t xml:space="preserve">   ·   </w:t>
      </w:r>
      <w:hyperlink w:anchor="arpo_section_8">
        <w:r>
          <w:rPr>
            <w:color w:val="365D83"/>
            <w:u w:val="single"/>
          </w:rPr>
          <w:t>Производительность</w:t>
        </w:r>
      </w:hyperlink>
      <w:r>
        <w:t xml:space="preserve">   ·   </w:t>
      </w:r>
      <w:hyperlink w:anchor="arpo_section_10">
        <w:r>
          <w:rPr>
            <w:color w:val="365D83"/>
            <w:u w:val="single"/>
          </w:rPr>
          <w:t>Исходники</w:t>
        </w:r>
      </w:hyperlink>
      <w:r>
        <w:t xml:space="preserve">   ·   </w:t>
      </w:r>
      <w:hyperlink w:anchor="arpo_appendix">
        <w:r>
          <w:rPr>
            <w:color w:val="365D83"/>
            <w:u w:val="single"/>
          </w:rPr>
          <w:t>Промпты</w:t>
        </w:r>
      </w:hyperlink>
    </w:p>
    <w:p>
      <w:r>
        <w:br w:type="page"/>
      </w:r>
    </w:p>
    <w:p>
      <w:pPr>
        <w:pStyle w:val="Heading1"/>
      </w:pPr>
      <w:bookmarkStart w:id="1" w:name="arpo_section_1"/>
      <w:r>
        <w:t>1 Постановка и связь с первой работой</w:t>
      </w:r>
      <w:bookmarkEnd w:id="1"/>
    </w:p>
    <w:p>
      <w:pPr>
        <w:jc w:val="both"/>
      </w:pPr>
      <w:r>
        <w:t>Цель второй лабораторной — расширить компонент Bucket sort первой работы арифметическими интерфейсами калькуляторов и освоить включение и агрегирование ACOM. По заданию требуется обращаться к интерфейсам через QueryInterface и продемонстрировать достижимость каждого поддерживаемого интерфейса из любого другого. Для полного объёма задания компонент первой работы поддерживает агрегирование внешним объектом, а новый Eco.Lab2 объединяет его с учебными калькуляторами A–E.</w:t>
      </w:r>
    </w:p>
    <w:p>
      <w:pPr>
        <w:jc w:val="both"/>
      </w:pPr>
      <w:r>
        <w:t>В схемах задания прежний компонент называется Eco.Lab1. В данной работе ему соответствует Eco.Lab65 — компонент темы 65 первой лабораторной. Сохранены публичный интерфейс IEcoLab65, его IID/CID и весь файл BucketMethods.c из подробного варианта третьей пары первой работы. Контрольная сумма численного файла d5a76ceec4fece2c4330a4b89bbf8a88b378294527073ceb4e27ec8de39e399c проверяется для каждого варианта. Новая генерация касается объектной организации, управления ссылками и композиции; численный алгоритм заново не генерируется.</w:t>
      </w:r>
    </w:p>
    <w:p>
      <w:pPr>
        <w:jc w:val="both"/>
      </w:pPr>
      <w:r>
        <w:t>Организатор подготовил контракт, незавершённый шаблон, статические фабрики, демонстрационный клиент, исходники калькуляторов преподавателя и независимые проверки. Начальный Reuse.c содержит только подключение контракта и указание на незавершённость. Qwen должна создать в нём оба объекта, их состояния, таблицы методов, QueryInterface, AddRef, Release, функции создания, очистку ресурсов и связи компонентов. Готовая реализация этих объектов в общий контекст не передавалась. Исходники модели организатор не исправляет. Отчёт, эталоны и анализ составляет организатор.</w:t>
      </w:r>
    </w:p>
    <w:p>
      <w:pPr>
        <w:pStyle w:val="Heading1"/>
      </w:pPr>
      <w:bookmarkStart w:id="2" w:name="arpo_section_2"/>
      <w:r>
        <w:t>2 Объекты и интеграция ACOM</w:t>
      </w:r>
      <w:bookmarkEnd w:id="2"/>
    </w:p>
    <w:p>
      <w:pPr>
        <w:jc w:val="both"/>
      </w:pPr>
      <w:r>
        <w:t>При включении внешний объект хранит принадлежащий ему интерфейс внутреннего объекта и предоставляет собственный публичный интерфейс. Его арифметические методы передают вызовы внутреннему калькулятору. Публичная идентичность принадлежит внешнему объекту; внутренние интерфейсы остаются приватными. Eco.Lab65 включает X компонента A либо C и Y компонента D. Сам D включает B. Eco.Lab2 включает E и через собственные X/Y передаёт ему арифметику; X самого E предоставляется агрегированным B.</w:t>
      </w:r>
    </w:p>
    <w:p>
      <w:pPr>
        <w:jc w:val="both"/>
      </w:pPr>
      <w:r>
        <w:t>При агрегировании Eco.Lab2 непосредственно выдаёт клиенту публичный IEcoLab65 внутреннего объекта. Публичные QueryInterface, AddRef и Release этого внутреннего интерфейса обращаются к управляющему IEcoUnknown внешнего объекта. Поэтому запрос Unknown через Lab2, Lab65, X или Y возвращает один канонический адрес. Это принципиальное отличие от обычного хранения указателя на другой независимый объект.</w:t>
      </w:r>
    </w:p>
    <w:p>
      <w:pPr>
        <w:keepNext/>
      </w:pPr>
      <w:r>
        <w:drawing>
          <wp:inline xmlns:a="http://schemas.openxmlformats.org/drawingml/2006/main" xmlns:pic="http://schemas.openxmlformats.org/drawingml/2006/picture">
            <wp:extent cx="5940000" cy="3861000"/>
            <wp:docPr id="1" name="Picture 1" descr="Lab2 включает E и агрегирует Lab65. Lab65 включает A или C и D. D включает B, E агрегирует B. Публичные QI AddRef Release Lab65 делегируют внешнему Unknown Lab2."/>
            <wp:cNvGraphicFramePr>
              <a:graphicFrameLocks noChangeAspect="1"/>
            </wp:cNvGraphicFramePr>
            <a:graphic>
              <a:graphicData uri="http://schemas.openxmlformats.org/drawingml/2006/picture">
                <pic:pic>
                  <pic:nvPicPr>
                    <pic:cNvPr id="0" name="acom-architecture.png"/>
                    <pic:cNvPicPr/>
                  </pic:nvPicPr>
                  <pic:blipFill>
                    <a:blip r:embed="rId13"/>
                    <a:stretch>
                      <a:fillRect/>
                    </a:stretch>
                  </pic:blipFill>
                  <pic:spPr>
                    <a:xfrm>
                      <a:off x="0" y="0"/>
                      <a:ext cx="5940000" cy="3861000"/>
                    </a:xfrm>
                    <a:prstGeom prst="rect"/>
                  </pic:spPr>
                </pic:pic>
              </a:graphicData>
            </a:graphic>
          </wp:inline>
        </w:drawing>
      </w:r>
    </w:p>
    <w:p>
      <w:pPr>
        <w:jc w:val="both"/>
      </w:pPr>
      <w:r>
        <w:t>Рисунок 1 Состав объектов и механизмы повторного использования</w:t>
      </w:r>
    </w:p>
    <w:p>
      <w:pPr>
        <w:jc w:val="both"/>
      </w:pPr>
      <w:r>
        <w:t>Eco.Lab65 имеет отдельный приватный неделегирующий Unknown с локальным счётчиком ссылок. При самостоятельном создании он же служит управляющим Unknown. При агрегировании управляющий указатель задаёт внешний объект; его сохранение не вызывает AddRef и не создаёт цикл владения. Внешний объект создаёт агрегат только с IID_IEcoUnknown и хранит его приватный Unknown. Получение публичного интерфейса через неделегирующий QueryInterface увеличивает уже делегирующую ссылку внешнего контроллера. Последний Release контроллера освобождает приватный Unknown агрегата и остальные принадлежащие ресурсы.</w:t>
      </w:r>
    </w:p>
    <w:p>
      <w:pPr>
        <w:jc w:val="both"/>
      </w:pPr>
      <w:r>
        <w:t>Успешный QueryInterface выдаёт одну владеющую ссылку. Неподдерживаемый IID и неверные указатели приводят к ошибке с очищенным выходным указателем. Поддерживаемый набор интерфейсов статичен. Проверки требуют рефлексивности, симметричности и транзитивности запросов, единой канонической identity и сохранения работоспособности дополнительного интерфейса после освобождения первоначального. Приватный неделегирующий Unknown используется для управления агрегатом и не выдаётся как публичная identity агрегированного объекта.</w:t>
      </w:r>
    </w:p>
    <w:tbl>
      <w:tblPr>
        <w:tblW w:type="auto" w:w="0"/>
        <w:jc w:val="center"/>
        <w:tblLayout w:type="fixed"/>
        <w:tblLook w:firstColumn="1" w:firstRow="1" w:lastColumn="0" w:lastRow="0" w:noHBand="0" w:noVBand="1" w:val="04A0"/>
      </w:tblPr>
      <w:tblGrid>
        <w:gridCol w:w="1928"/>
        <w:gridCol w:w="4989"/>
        <w:gridCol w:w="2438"/>
      </w:tblGrid>
      <w:tr>
        <w:trPr>
          <w:cantSplit/>
          <w:tblHeader/>
        </w:trPr>
        <w:tc>
          <w:tcPr>
            <w:tcW w:type="dxa" w:w="19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left"/>
            </w:pPr>
            <w:r>
              <w:rPr>
                <w:rFonts w:ascii="Times New Roman" w:hAnsi="Times New Roman"/>
                <w:b/>
                <w:color w:val="000000"/>
                <w:sz w:val="21"/>
              </w:rPr>
              <w:t>Интерфейс</w:t>
            </w:r>
          </w:p>
        </w:tc>
        <w:tc>
          <w:tcPr>
            <w:tcW w:type="dxa" w:w="4989"/>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Методы после QI AddRef Release</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Область</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IEcoLab65</w:t>
            </w:r>
          </w:p>
        </w:tc>
        <w:tc>
          <w:tcPr>
            <w:tcW w:type="dxa" w:w="4989"/>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SortInt, SortLong, SortFloat, SortDouble, SortLongDouble</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Прежняя сортировка</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IEcoLab2</w:t>
            </w:r>
          </w:p>
        </w:tc>
        <w:tc>
          <w:tcPr>
            <w:tcW w:type="dxa" w:w="4989"/>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GetVersion возвращает 2</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Новый внешний объект</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IEcoCalculatorX</w:t>
            </w:r>
          </w:p>
        </w:tc>
        <w:tc>
          <w:tcPr>
            <w:tcW w:type="dxa" w:w="4989"/>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Addition → int32_t; Subtraction → int16_t</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Аргументы int16_t</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IEcoCalculatorY</w:t>
            </w:r>
          </w:p>
        </w:tc>
        <w:tc>
          <w:tcPr>
            <w:tcW w:type="dxa" w:w="4989"/>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Multiplication → int32_t; Division → int16_t</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Аргументы int16_t</w:t>
            </w:r>
          </w:p>
        </w:tc>
      </w:tr>
    </w:tbl>
    <w:p>
      <w:pPr>
        <w:spacing w:after="20"/>
      </w:pPr>
    </w:p>
    <w:p>
      <w:pPr>
        <w:jc w:val="both"/>
      </w:pPr>
      <w:r>
        <w:t>Используется настоящий Eco SDK из поставки Eco.Framework_20260918.zip и eco-wizard 0.2.2 для macOS arm64. Клиент входит через EcoMain, фабрики регистрируются в IEcoInterfaceBus1, зависимости создаются через QueryComponent. Объекты и численные буферы используют IEcoMemoryAllocator1. Студенческие файлы компилируются в строгом ANSI C89; стандартные заголовки, libc и сторонние библиотеки в компоненте запрещены. Стандартная библиотека разрешена только доверенным тестам и измерительному клиенту.</w:t>
      </w:r>
    </w:p>
    <w:p>
      <w:pPr>
        <w:jc w:val="both"/>
      </w:pPr>
      <w:r>
        <w:t>Калькуляторы взяты из 001.InsideACOM репозитория Eco.Education, ревизия 7f1664b0489bcea6d5b211807ea5cb0ce0e1068e. Их исходники не редактировались. У A и C совпадает опубликованный CID, поэтому выполнены отдельные профили регистрации A и C. Для совместной линковки переименованы только три глобальных символа фабрики C на уровне параметров компилятора. Старое имя ERR_ECO_SUCCESES сопоставлено с ERR_ECO_SUCCESS. Допуски для комментариев и отсутствующей завершающей новой строки применены только к файлам поставщика.</w:t>
      </w:r>
    </w:p>
    <w:p>
      <w:pPr>
        <w:jc w:val="both"/>
      </w:pPr>
      <w:r>
        <w:t>Предварительный тест выявил, что C и D возвращают разные канонические Unknown через собственные X и Y. Эти интерфейсы используются только внутри включения и не выдаются клиенту напрямую. Публичные интерфейсы лабораторной проходят собственную строгую проверку identity. Исправление дефектов поставщика и изменение его ABI в объём генерации не входят.</w:t>
      </w:r>
    </w:p>
    <w:p>
      <w:pPr>
        <w:pStyle w:val="Heading1"/>
      </w:pPr>
      <w:bookmarkStart w:id="3" w:name="arpo_section_3"/>
      <w:r>
        <w:t>3 Алгоритм и сложность</w:t>
      </w:r>
      <w:bookmarkEnd w:id="3"/>
    </w:p>
    <w:p>
      <w:pPr>
        <w:jc w:val="both"/>
      </w:pPr>
      <w:r>
        <w:t>Сохранённая распределительная сортировка строит монотонный номер блока. Для знаковых целых применяется беззнаковое представление с инверсией старшего бита; переход через double не нужен. Вещественные значения распределяются нормированием допустимого диапазона, а верхняя граница ограничивается последним блоком. После подсчёта размеров строятся префиксные начала блоков, элементы переносятся во временный массив, каждый блок сортируется вставками, результат копируется обратно. Валидация и выделения памяти выполняются до изменения входного массива.</w:t>
      </w:r>
    </w:p>
    <w:p>
      <w:pPr>
        <w:jc w:val="both"/>
      </w:pPr>
      <w:r>
        <w:t>В формуле n — число элементов, B — число блоков, а nᵢ — число элементов блока i. Суммирование ведётся по всем блокам. T обозначает время, S — дополнительную память.</w:t>
      </w:r>
    </w:p>
    <w:p>
      <w:pPr>
        <w:keepNext/>
        <w:jc w:val="center"/>
      </w:pPr>
      <m:oMath>
        <m:r>
          <m:t>T(n, B) = O(n + B + ∑ </m:t>
        </m:r>
        <m:sSubSup>
          <m:e>
            <m:r>
              <m:t>n</m:t>
            </m:r>
          </m:e>
          <m:sub>
            <m:r>
              <m:t>i</m:t>
            </m:r>
          </m:sub>
          <m:sup>
            <m:r>
              <m:t>2</m:t>
            </m:r>
          </m:sup>
        </m:sSubSup>
        <m:r>
          <m:t>);   S(n, B) = O(n + B)</m:t>
        </m:r>
      </m:oMath>
    </w:p>
    <w:p>
      <w:pPr>
        <w:keepNext/>
        <w:jc w:val="center"/>
      </w:pPr>
      <m:oMath>
        <m:r>
          <m:t>O(n + B + </m:t>
        </m:r>
        <m:f>
          <m:num>
            <m:sSup>
              <m:e>
                <m:r>
                  <m:t>n</m:t>
                </m:r>
              </m:e>
              <m:sup>
                <m:r>
                  <m:t>2</m:t>
                </m:r>
              </m:sup>
            </m:sSup>
          </m:num>
          <m:den>
            <m:r>
              <m:t>B</m:t>
            </m:r>
          </m:den>
        </m:f>
        <m:r>
          <m:t>)</m:t>
        </m:r>
      </m:oMath>
    </w:p>
    <w:p>
      <w:pPr>
        <w:jc w:val="both"/>
      </w:pPr>
      <w:r>
        <w:t>Вторая формула описывает ожидаемое время при примерно равномерном заполнении. При концентрации в одном блоке возможен квадратичный рост. Фиксированное B не даёт основания обещать линейность для любого растущего входа. Арифметические обёртки и обращения к фиксированному набору интерфейсов имеют постоянную сложность по n. Дополнительная память объектов ACOM также постоянна по длине массива.</w:t>
      </w:r>
    </w:p>
    <w:p>
      <w:pPr>
        <w:jc w:val="both"/>
      </w:pPr>
      <w:r>
        <w:t>Сортировка поддерживает int32_t, int64_t, float, double и long double. Длина не превышает 1 000 000, число блоков находится в пределах 1–1024. Для целых сохранён полный знаковый диапазон; вещественные входы должны быть конечными и лежать в диапазоне от −1 000 000 до 1 000 000. На Apple arm64 long имеет 64 бита, long double совпадает с double. Арифметические проверки используют операнды от −100 до 100, ненулевой делитель и результаты в пределах фактического int16_t/int32_t ABI.</w:t>
      </w:r>
    </w:p>
    <w:p>
      <w:pPr>
        <w:pStyle w:val="Heading1"/>
      </w:pPr>
      <w:bookmarkStart w:id="4" w:name="arpo_section_4"/>
      <w:r>
        <w:t>4 Независимые проверки и численные результаты</w:t>
      </w:r>
      <w:bookmarkEnd w:id="4"/>
    </w:p>
    <w:p>
      <w:pPr>
        <w:jc w:val="both"/>
      </w:pPr>
      <w:r>
        <w:t>Доверенный C клиент сначала работает с настоящим реестром Eco, затем с инструментированным окружением для счётчиков и отказов. Для обоих профилей A/C проверяются две публичные матрицы интерфейсов, внешний тестовый контроллер агрегата, принадлежность ссылок, очистка при отказах прямых зависимостей и первого выделения памяти. Временная подмена арифметических слотов калькуляторов на отличимые результаты доказывает передачу вызова внутреннему компоненту: простое локальное вычисление суммы такую проверку не пройдёт. Дополнительно выполняются строгая сборка, проверка неизменности общих файлов, анализ неопределённых символов и запуск с UBSan. До основной серии выполнена compile-only сборка контракта и доверенных клиентов, незавершённый seed отклонён. Исправленный тестовый реестр предварительно проверен на промежуточном Lab65 из сохранённой недействительной серии: по 17 100 утверждений A/C с двумя ожидаемыми отказами отсутствующего Lab2, без живых выделений. Этот исходник не включался в общий seed и не передавался другим независимым запускам. Поведение новых объектов Lab2 проверялось после их генерации, а не объявлялось доказанным по одной лишь предварительной сборке. Арифметический клиент использует 132 пары операндов из диапазона −100…100: шаги по a и b равны 17 и 19 соответственно. Это конечная сетка, а не перебор всех целых пар диапазона; сравнение выполняется с независимыми обычными целочисленными операциями C. Единственность включённого E проверяется при ручном разборе конструктора: автоматический счётчик подтверждает наличие E, но не требует ровно одного экземпляра. Поэтому одна лишь автоматическая отметка passed не завершает приёмку.</w:t>
      </w:r>
    </w:p>
    <w:p>
      <w:pPr>
        <w:jc w:val="both"/>
      </w:pPr>
      <w:r>
        <w:t>Регрессионная проверка во второй работе сортирует массивы из 257 значений для каждого из пяти типов при B = 1, 2, 7 и 1024. Результат поэлементно сравнивается с независимым qsort; проверяются пустой ввод, неверные указатели, недопустимое B, неизменность данных при ошибке и отказ выделения. Это конечный регрессионный набор второй работы. Более широкий набор первой работы не объявляется заново выполненным только на основании совпадения контрольной суммы.</w:t>
      </w:r>
    </w:p>
    <w:tbl>
      <w:tblPr>
        <w:tblW w:type="auto" w:w="0"/>
        <w:jc w:val="center"/>
        <w:tblLayout w:type="fixed"/>
        <w:tblLook w:firstColumn="1" w:firstRow="1" w:lastColumn="0" w:lastRow="0" w:noHBand="0" w:noVBand="1" w:val="04A0"/>
      </w:tblPr>
      <w:tblGrid>
        <w:gridCol w:w="3061"/>
        <w:gridCol w:w="850"/>
        <w:gridCol w:w="2438"/>
        <w:gridCol w:w="1247"/>
        <w:gridCol w:w="1757"/>
      </w:tblGrid>
      <w:tr>
        <w:trPr>
          <w:cantSplit/>
          <w:tblHeader/>
        </w:trPr>
        <w:tc>
          <w:tcPr>
            <w:tcW w:type="dxa" w:w="306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left"/>
            </w:pPr>
            <w:r>
              <w:rPr>
                <w:rFonts w:ascii="Times New Roman" w:hAnsi="Times New Roman"/>
                <w:b/>
                <w:color w:val="000000"/>
                <w:sz w:val="21"/>
              </w:rPr>
              <w:t>Промпт</w:t>
            </w:r>
          </w:p>
        </w:tc>
        <w:tc>
          <w:tcPr>
            <w:tcW w:type="dxa" w:w="8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Проверки по профилям</w:t>
            </w:r>
          </w:p>
        </w:tc>
        <w:tc>
          <w:tcPr>
            <w:tcW w:type="dxa" w:w="124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Профили</w:t>
            </w:r>
          </w:p>
        </w:tc>
        <w:tc>
          <w:tcPr>
            <w:tcW w:type="dxa" w:w="175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Итог</w:t>
            </w:r>
          </w:p>
        </w:tc>
      </w:tr>
      <w:tr>
        <w:trPr>
          <w:cantSplit/>
        </w:trPr>
        <w:tc>
          <w:tcPr>
            <w:tcW w:type="dxa" w:w="306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8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28936/28936</w:t>
            </w:r>
          </w:p>
        </w:tc>
        <w:tc>
          <w:tcPr>
            <w:tcW w:type="dxa" w:w="124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 и C</w:t>
            </w:r>
          </w:p>
        </w:tc>
        <w:tc>
          <w:tcPr>
            <w:tcW w:type="dxa" w:w="175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Пройдено</w:t>
            </w:r>
          </w:p>
        </w:tc>
      </w:tr>
      <w:tr>
        <w:trPr>
          <w:cantSplit/>
        </w:trPr>
        <w:tc>
          <w:tcPr>
            <w:tcW w:type="dxa" w:w="306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8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28936/28936</w:t>
            </w:r>
          </w:p>
        </w:tc>
        <w:tc>
          <w:tcPr>
            <w:tcW w:type="dxa" w:w="124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 и C</w:t>
            </w:r>
          </w:p>
        </w:tc>
        <w:tc>
          <w:tcPr>
            <w:tcW w:type="dxa" w:w="175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Пройдено</w:t>
            </w:r>
          </w:p>
        </w:tc>
      </w:tr>
      <w:tr>
        <w:trPr>
          <w:cantSplit/>
        </w:trPr>
        <w:tc>
          <w:tcPr>
            <w:tcW w:type="dxa" w:w="306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8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28936/28936</w:t>
            </w:r>
          </w:p>
        </w:tc>
        <w:tc>
          <w:tcPr>
            <w:tcW w:type="dxa" w:w="124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 и C</w:t>
            </w:r>
          </w:p>
        </w:tc>
        <w:tc>
          <w:tcPr>
            <w:tcW w:type="dxa" w:w="175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Пройдено</w:t>
            </w:r>
          </w:p>
        </w:tc>
      </w:tr>
      <w:tr>
        <w:trPr>
          <w:cantSplit/>
        </w:trPr>
        <w:tc>
          <w:tcPr>
            <w:tcW w:type="dxa" w:w="306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8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28936/28936</w:t>
            </w:r>
          </w:p>
        </w:tc>
        <w:tc>
          <w:tcPr>
            <w:tcW w:type="dxa" w:w="124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 и C</w:t>
            </w:r>
          </w:p>
        </w:tc>
        <w:tc>
          <w:tcPr>
            <w:tcW w:type="dxa" w:w="175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Пройдено</w:t>
            </w:r>
          </w:p>
        </w:tc>
      </w:tr>
      <w:tr>
        <w:trPr>
          <w:cantSplit/>
        </w:trPr>
        <w:tc>
          <w:tcPr>
            <w:tcW w:type="dxa" w:w="306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8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28936/28936</w:t>
            </w:r>
          </w:p>
        </w:tc>
        <w:tc>
          <w:tcPr>
            <w:tcW w:type="dxa" w:w="124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 и C</w:t>
            </w:r>
          </w:p>
        </w:tc>
        <w:tc>
          <w:tcPr>
            <w:tcW w:type="dxa" w:w="175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Пройдено</w:t>
            </w:r>
          </w:p>
        </w:tc>
      </w:tr>
      <w:tr>
        <w:trPr>
          <w:cantSplit/>
        </w:trPr>
        <w:tc>
          <w:tcPr>
            <w:tcW w:type="dxa" w:w="306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8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28936/28936</w:t>
            </w:r>
          </w:p>
        </w:tc>
        <w:tc>
          <w:tcPr>
            <w:tcW w:type="dxa" w:w="124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 и C</w:t>
            </w:r>
          </w:p>
        </w:tc>
        <w:tc>
          <w:tcPr>
            <w:tcW w:type="dxa" w:w="175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Пройдено</w:t>
            </w:r>
          </w:p>
        </w:tc>
      </w:tr>
      <w:tr>
        <w:trPr>
          <w:cantSplit/>
        </w:trPr>
        <w:tc>
          <w:tcPr>
            <w:tcW w:type="dxa" w:w="306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8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28936/28936</w:t>
            </w:r>
          </w:p>
        </w:tc>
        <w:tc>
          <w:tcPr>
            <w:tcW w:type="dxa" w:w="124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 и C</w:t>
            </w:r>
          </w:p>
        </w:tc>
        <w:tc>
          <w:tcPr>
            <w:tcW w:type="dxa" w:w="175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Пройдено</w:t>
            </w:r>
          </w:p>
        </w:tc>
      </w:tr>
      <w:tr>
        <w:trPr>
          <w:cantSplit/>
        </w:trPr>
        <w:tc>
          <w:tcPr>
            <w:tcW w:type="dxa" w:w="306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8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28936/28936</w:t>
            </w:r>
          </w:p>
        </w:tc>
        <w:tc>
          <w:tcPr>
            <w:tcW w:type="dxa" w:w="124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 и C</w:t>
            </w:r>
          </w:p>
        </w:tc>
        <w:tc>
          <w:tcPr>
            <w:tcW w:type="dxa" w:w="175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Пройдено</w:t>
            </w:r>
          </w:p>
        </w:tc>
      </w:tr>
      <w:tr>
        <w:trPr>
          <w:cantSplit/>
        </w:trPr>
        <w:tc>
          <w:tcPr>
            <w:tcW w:type="dxa" w:w="306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8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28936/28936</w:t>
            </w:r>
          </w:p>
        </w:tc>
        <w:tc>
          <w:tcPr>
            <w:tcW w:type="dxa" w:w="124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 и C</w:t>
            </w:r>
          </w:p>
        </w:tc>
        <w:tc>
          <w:tcPr>
            <w:tcW w:type="dxa" w:w="175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Пройдено</w:t>
            </w:r>
          </w:p>
        </w:tc>
      </w:tr>
    </w:tbl>
    <w:p>
      <w:pPr>
        <w:spacing w:after="20"/>
      </w:pPr>
    </w:p>
    <w:p>
      <w:pPr>
        <w:jc w:val="both"/>
      </w:pPr>
      <w:r>
        <w:t>Дополнительно проверена переносимая выдача: три ZIP архива распакованы в чистые папки, контрольные суммы каждого Reuse.c сверены с ответами модели, все девять вариантов заново собраны и проверены в A/C. Все 18 сборок из архивов прошли тот же независимый клиент. Это проверка упаковки после генерации; её время не прибавлялось к затратам модели.</w:t>
      </w:r>
    </w:p>
    <w:p>
      <w:pPr>
        <w:jc w:val="both"/>
      </w:pPr>
      <w:r>
        <w:t>Число в таблице — количество выполненных утверждений, включая поэлементные сравнения, а не число разных сценариев. Незавершённый общий шаблон заранее отклонён: отсутствуют createEcoLab65, createEcoLab2 и lab_allocator. Сам контракт и доверенные клиенты прошли предварительную сборку.</w:t>
      </w:r>
    </w:p>
    <w:tbl>
      <w:tblPr>
        <w:tblW w:type="auto" w:w="0"/>
        <w:jc w:val="center"/>
        <w:tblLayout w:type="fixed"/>
        <w:tblLook w:firstColumn="1" w:firstRow="1" w:lastColumn="0" w:lastRow="0" w:noHBand="0" w:noVBand="1" w:val="04A0"/>
      </w:tblPr>
      <w:tblGrid>
        <w:gridCol w:w="2948"/>
        <w:gridCol w:w="2381"/>
        <w:gridCol w:w="2551"/>
        <w:gridCol w:w="1474"/>
      </w:tblGrid>
      <w:tr>
        <w:trPr>
          <w:cantSplit/>
          <w:tblHeader/>
        </w:trPr>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left"/>
            </w:pPr>
            <w:r>
              <w:rPr>
                <w:rFonts w:ascii="Times New Roman" w:hAnsi="Times New Roman"/>
                <w:b/>
                <w:color w:val="000000"/>
                <w:sz w:val="21"/>
              </w:rPr>
              <w:t>Вход или операция</w:t>
            </w:r>
          </w:p>
        </w:tc>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Результат</w:t>
            </w:r>
          </w:p>
        </w:tc>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Независимый эталон</w:t>
            </w:r>
          </w:p>
        </w:tc>
        <w:tc>
          <w:tcPr>
            <w:tcW w:type="dxa" w:w="147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Ошибка</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Addition(3, 5)</w:t>
            </w:r>
          </w:p>
        </w:tc>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8</w:t>
            </w:r>
          </w:p>
        </w:tc>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Целое 3 + 5</w:t>
            </w:r>
          </w:p>
        </w:tc>
        <w:tc>
          <w:tcPr>
            <w:tcW w:type="dxa" w:w="147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Subtraction(7, 2)</w:t>
            </w:r>
          </w:p>
        </w:tc>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5</w:t>
            </w:r>
          </w:p>
        </w:tc>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Целое 7 − 2</w:t>
            </w:r>
          </w:p>
        </w:tc>
        <w:tc>
          <w:tcPr>
            <w:tcW w:type="dxa" w:w="147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Multiplication(3, 5)</w:t>
            </w:r>
          </w:p>
        </w:tc>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15</w:t>
            </w:r>
          </w:p>
        </w:tc>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Целое 3 × 5</w:t>
            </w:r>
          </w:p>
        </w:tc>
        <w:tc>
          <w:tcPr>
            <w:tcW w:type="dxa" w:w="147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Division(7, 2)</w:t>
            </w:r>
          </w:p>
        </w:tc>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w:t>
            </w:r>
          </w:p>
        </w:tc>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Целочисленное 7 / 2</w:t>
            </w:r>
          </w:p>
        </w:tc>
        <w:tc>
          <w:tcPr>
            <w:tcW w:type="dxa" w:w="147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7 −4 2 7 0 −100</w:t>
            </w:r>
          </w:p>
        </w:tc>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−100 −4 0 2 7 7</w:t>
            </w:r>
          </w:p>
        </w:tc>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Ожидаемый порядок целых</w:t>
            </w:r>
          </w:p>
        </w:tc>
        <w:tc>
          <w:tcPr>
            <w:tcW w:type="dxa" w:w="147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5 типов по 257 элементов</w:t>
            </w:r>
          </w:p>
        </w:tc>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Порядок совпадает</w:t>
            </w:r>
          </w:p>
        </w:tc>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Поэлементный qsort</w:t>
            </w:r>
          </w:p>
        </w:tc>
        <w:tc>
          <w:tcPr>
            <w:tcW w:type="dxa" w:w="147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 на тестах</w:t>
            </w:r>
          </w:p>
        </w:tc>
      </w:tr>
    </w:tbl>
    <w:p>
      <w:pPr>
        <w:spacing w:after="20"/>
      </w:pPr>
    </w:p>
    <w:tbl>
      <w:tblPr>
        <w:tblW w:type="auto" w:w="0"/>
        <w:jc w:val="center"/>
        <w:tblLayout w:type="fixed"/>
        <w:tblLook w:firstColumn="1" w:firstRow="1" w:lastColumn="0" w:lastRow="0" w:noHBand="0" w:noVBand="1" w:val="04A0"/>
      </w:tblPr>
      <w:tblGrid>
        <w:gridCol w:w="2608"/>
        <w:gridCol w:w="4422"/>
        <w:gridCol w:w="2324"/>
      </w:tblGrid>
      <w:tr>
        <w:trPr>
          <w:cantSplit/>
          <w:tblHeader/>
        </w:trPr>
        <w:tc>
          <w:tcPr>
            <w:tcW w:type="dxa" w:w="2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left"/>
            </w:pPr>
            <w:r>
              <w:rPr>
                <w:rFonts w:ascii="Times New Roman" w:hAnsi="Times New Roman"/>
                <w:b/>
                <w:color w:val="000000"/>
                <w:sz w:val="21"/>
              </w:rPr>
              <w:t>Свойство ACOM</w:t>
            </w:r>
          </w:p>
        </w:tc>
        <w:tc>
          <w:tcPr>
            <w:tcW w:type="dxa" w:w="442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Доказательство в работе</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Граница проверки</w:t>
            </w:r>
          </w:p>
        </w:tc>
      </w:tr>
      <w:tr>
        <w:trPr>
          <w:cantSplit/>
        </w:trPr>
        <w:tc>
          <w:tcPr>
            <w:tcW w:type="dxa" w:w="2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Единая идентичность и набор интерфейсов</w:t>
            </w:r>
          </w:p>
        </w:tc>
        <w:tc>
          <w:tcPr>
            <w:tcW w:type="dxa" w:w="442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Матрицы QI и сравнение canonical Unknown для 4 и 5 интерфейсов в A/C</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Конечные сценарии одного потока</w:t>
            </w:r>
          </w:p>
        </w:tc>
      </w:tr>
      <w:tr>
        <w:trPr>
          <w:cantSplit/>
        </w:trPr>
        <w:tc>
          <w:tcPr>
            <w:tcW w:type="dxa" w:w="2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Публичное делегирование</w:t>
            </w:r>
          </w:p>
        </w:tc>
        <w:tc>
          <w:tcPr>
            <w:tcW w:type="dxa" w:w="442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Внешний тестовый контроллер и ручной разбор QI AddRef Release</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Без межпроцессного маршалинга</w:t>
            </w:r>
          </w:p>
        </w:tc>
      </w:tr>
      <w:tr>
        <w:trPr>
          <w:cantSplit/>
        </w:trPr>
        <w:tc>
          <w:tcPr>
            <w:tcW w:type="dxa" w:w="2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Прямой интерфейс агрегата</w:t>
            </w:r>
          </w:p>
        </w:tc>
        <w:tc>
          <w:tcPr>
            <w:tcW w:type="dxa" w:w="442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Адрес Lab65 из Lab2 совпадает с результатом private inner QI</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Статическая сборка Eco</w:t>
            </w:r>
          </w:p>
        </w:tc>
      </w:tr>
      <w:tr>
        <w:trPr>
          <w:cantSplit/>
        </w:trPr>
        <w:tc>
          <w:tcPr>
            <w:tcW w:type="dxa" w:w="2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Включение калькуляторов</w:t>
            </w:r>
          </w:p>
        </w:tc>
        <w:tc>
          <w:tcPr>
            <w:tcW w:type="dxa" w:w="442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Подмена арифметических слотов поставщика на отличимые результаты</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Выбранные четыре метода</w:t>
            </w:r>
          </w:p>
        </w:tc>
      </w:tr>
      <w:tr>
        <w:trPr>
          <w:cantSplit/>
        </w:trPr>
        <w:tc>
          <w:tcPr>
            <w:tcW w:type="dxa" w:w="2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Владение и время жизни</w:t>
            </w:r>
          </w:p>
        </w:tc>
        <w:tc>
          <w:tcPr>
            <w:tcW w:type="dxa" w:w="442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Счётчики ссылок и выделений, удержание X, отказы прямых зависимостей</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Удержание Y отдельно не запускалось</w:t>
            </w:r>
          </w:p>
        </w:tc>
      </w:tr>
      <w:tr>
        <w:trPr>
          <w:cantSplit/>
        </w:trPr>
        <w:tc>
          <w:tcPr>
            <w:tcW w:type="dxa" w:w="2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Один включённый E</w:t>
            </w:r>
          </w:p>
        </w:tc>
        <w:tc>
          <w:tcPr>
            <w:tcW w:type="dxa" w:w="442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Ручной разбор: получение X через QI уже приобретённого Y</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Автоматический счётчик проверяет только наличие E</w:t>
            </w:r>
          </w:p>
        </w:tc>
      </w:tr>
    </w:tbl>
    <w:p>
      <w:pPr>
        <w:spacing w:after="20"/>
      </w:pPr>
    </w:p>
    <w:p>
      <w:pPr>
        <w:jc w:val="both"/>
      </w:pPr>
      <w:r>
        <w:t>Первые пять строк — вывод демонстрационного EcoMain, сопоставленный с точными целочисленными значениями и ожидаемым порядком. Независимый клиент дополнительно проверяет 132 пары операндов и массивы по 257 элементов с qsort. Для целых результатов используется точное сравнение, десятичное приближение не нужно. Вещественные регрессии используют представимые целые значения. Нулевая ошибка этих данных не является утверждением о полной проверке всех вещественных входов или расширенной точности long double.</w:t>
      </w:r>
    </w:p>
    <w:p>
      <w:pPr>
        <w:pStyle w:val="Heading1"/>
      </w:pPr>
      <w:bookmarkStart w:id="5" w:name="arpo_section_5"/>
      <w:r>
        <w:t>5 Организация генерации и учёт затрат</w:t>
      </w:r>
      <w:bookmarkEnd w:id="5"/>
    </w:p>
    <w:p>
      <w:pPr>
        <w:jc w:val="both"/>
      </w:pPr>
      <w:r>
        <w:t>Основное сравнение включает три независимые пары короткого промпта и ТЗ по ГОСТ. Для сравнения с обычным длинным текстом добавлены три независимых контроля. В каждой тройке совпадает seed модели: 42, 43 или 44. Порядок: короткий–ГОСТ–обычный, ГОСТ–обычный–короткий, обычный–короткий–ГОСТ. Каждый запуск начинается с одной и той же незавершённой копии seed-v2. Исходники и ответы между вариантами не переносятся, кеш промптов отключён. Начальная фаза имеет бюджет одного ответа модели для всех девяти запусков. При неуспехе продолжение проводится в той же попытке с явным увеличением бюджета. Анализ первого ответа отделён от полного пути до приёмки с адаптивной помощью организатора.</w:t>
      </w:r>
    </w:p>
    <w:p>
      <w:pPr>
        <w:jc w:val="both"/>
      </w:pPr>
      <w:r>
        <w:t>Входные и выходные токены берутся из usage сервера для каждого HTTP запроса. Учтены автоматические исправления, неудачные ответы, повторные HTTP и продолжения с уточнениями организатора. Активное время — сумма сохранённых сессий обёртки, включая API, файловые действия и независимые проверки, плюс отдельно записанное время прямой диагностики тем же доверенным клиентом во время исправлений. Исходная метрика обёртки сохранена отдельно и не переписывается. Паузы между сессиями, время чтения и составления уточнений организатором, подготовка окружения и написание отчёта в эту метрику не входят; полный труд организатора не измерен. Прогрев модели сохранён отдельно. При явном сокращении истории полный архив и накопленные затраты сохраняются; это не считается новым независимым запуском.</w:t>
      </w:r>
    </w:p>
    <w:p>
      <w:pPr>
        <w:jc w:val="both"/>
      </w:pPr>
      <w:r>
        <w:t>До эксперимента пользователь ответил на два справочных вопроса об источниках обновления обёртки и учебных калькуляторов. Они общие для всех вариантов и не являются исправлениями ответов Qwen. Столбец уточнений — счётчик явных продолжений обёртки с файлами followup-*.txt; это не число самостоятельных ответов человека на технические ошибки. Автоматическая диагностика и служебные сообщения сокращения истории входят в фактический вход и токены API, но не считаются отдельными явными уточнениями.</w:t>
      </w:r>
    </w:p>
    <w:p>
      <w:pPr>
        <w:jc w:val="both"/>
      </w:pPr>
      <w:r>
        <w:t>После прерывания работы был обнаружен остановленный локальный сервер; один запрос короткого варианта завершился транспортной ошибкой без usage. Для таких событий журнал сохраняет неполноту учёта: известные токены являются нижней границей, а точная полная сумма не заявляется. Для зарегистрированного транспортного сбоя время и попытка сохранены.</w:t>
      </w:r>
    </w:p>
    <w:p>
      <w:pPr>
        <w:jc w:val="both"/>
      </w:pPr>
      <w:r>
        <w:t>Дополнительно сессия обычного длинного промпта в первом повторе была прервана 21 октября после начала генерации и до сохранения ответа. При восстановлении подтверждено отсутствие процессов сервера и обёртки. Время завершения, usage и точная длительность этой сессии неизвестны; последняя телеметрия памяти не определяет момент остановки. В отдельном interrupted-sessions.jsonl сохранена как минимум одна такая попытка. Она добавлена к нижней границе API попыток в сводке, но исходный счётчик зарегистрированных запросов обёртки не переписан. Активное время обычного длинного варианта и общие суммы времени являются известной нижней границей; точное полное время не заявляется. Продолжена та же попытка с прежней моделью и параметрами. Причина остановки не установлена, маркера превышения порога памяти нет.</w:t>
      </w:r>
    </w:p>
    <w:p>
      <w:pPr>
        <w:jc w:val="both"/>
      </w:pPr>
      <w:r>
        <w:t>В таблицах API-попытки — счётчик запросов клиента обёртки, включая сбой до получения ответа сервера; он не равен числу успешно обработанных HTTP POST. Внутреннее имя поля http_requests сохранено в CSV для сверки с журналом.</w:t>
      </w:r>
    </w:p>
    <w:p>
      <w:pPr>
        <w:jc w:val="both"/>
      </w:pPr>
      <w:r>
        <w:t>После неудачных подробных уточнений активные наблюдения SDK в продолжениях сокращались: полная исходная версия архивировалась, сохранялись исходный пользовательский промпт, неизменный контракт и нужные объявления ABI. Численный файл и список всех SDK файлов из активного контекста убирались, готовая объектная реализация не добавлялась. Это было адаптивным изменением диалога после первой фазы; исходные промпты, seed, модель, параметры и финальные проверки не менялись. Поэтапные подзадачи не считались приёмкой полной работы.</w:t>
      </w:r>
    </w:p>
    <w:p>
      <w:pPr>
        <w:jc w:val="both"/>
      </w:pPr>
      <w:r>
        <w:t>В отдельных справочных цитатах собственного предыдущего ответа модели удалялись только комментарии, чтобы прекратить повторение запрещённых комментариев C99; последовательность остальных C токенов сохранялась. Измеряемые рабочие файлы этим преобразованием не редактировались: полный заменяющий исходник каждый раз возвращала Qwen. Это дополнительная подготовка контекста организатором, сохранённая в журнале происхождения.</w:t>
      </w:r>
    </w:p>
    <w:p>
      <w:pPr>
        <w:jc w:val="both"/>
      </w:pPr>
      <w:r>
        <w:t>В отдельных продолжениях из справочной цитаты собственного ответа удалялись тела ошибочных функций без добавления реализации: модель заново генерировала их в полном файле. На поздних повторах применялось поэтапное уточнение: методы и таблицы, конструктор Lab65, затем Lab2. Сами эти уточнения и их токены учтены; начальные запросы и приёмочные проверки не менялись.</w:t>
      </w:r>
    </w:p>
    <w:p>
      <w:pPr>
        <w:jc w:val="both"/>
      </w:pPr>
      <w:r>
        <w:t>Часть проверочных циклов после уточнений относится к намеренно промежуточным этапам с незавершённым Lab2 или временными безопасными заглушками. Полные проверки такие этапы закономерно отклоняют. Само количество отклонённых циклов поэтому не трактуется как число самостоятельных ошибок модели; ошибки выделяются по диагностике компилятора, нарушенным свойствам и ручному разбору. Стоимость всех промежуточных этапов включена в полные затраты.</w:t>
      </w:r>
    </w:p>
    <w:p>
      <w:pPr>
        <w:jc w:val="both"/>
      </w:pPr>
      <w:r>
        <w:t>Счётчик запросов относится к попыткам генерации через API модели; служебные запросы проверки состояния сервера не считаются отдельными запросами генерации и не имеют токенов модели. Полный сетевой трафик ноутбука не измерялся.</w:t>
      </w:r>
    </w:p>
    <w:p>
      <w:pPr>
        <w:jc w:val="both"/>
      </w:pPr>
      <w:r>
        <w:t>Для восстановления случайно удалённых обёрток сортировки или арифметических методов в отдельные уточнения включены точные фрагменты более раннего ответа той же попытки с хешами происхождения. Это справка из собственного вывода Qwen, не код другого независимого варианта и не ручное исправление рабочего файла; полный заменяющий файл снова генерирует Qwen через обёртку. Для исправления порядка объявлений отдельно цитировались точные строки сигнатур того же ответа; для восстановления освобождения ресурса — точная строка cleanup из более раннего ответа той же попытки. Происхождение этих фрагментов сохранено отдельно. После повторных C99 ошибок в уточнения добавлен независимый от алгоритма образец синтаксиса блочного комментария C89.</w:t>
      </w:r>
    </w:p>
    <w:p>
      <w:pPr>
        <w:jc w:val="both"/>
      </w:pPr>
      <w:r>
        <w:t>В части продолжений после неудач последний реальный ответ той же попытки сохранялся в активной истории с его исходной ролью assistant, а следующее уточнение не дублировало полный исходник внутри пользовательского сообщения. Прежняя переписка архивировалась, точность сохранённого ответа подтверждалась хешем и сопоставлением с requests.jsonl. Реализация не добавлялась организатором; исходный промпт и конфигурация не менялись. Это ещё один адаптивный приём помощи после начальной фазы, а не отдельное независимое сравнение стратегии сокращения контекста.</w:t>
      </w:r>
    </w:p>
    <w:tbl>
      <w:tblPr>
        <w:tblW w:type="auto" w:w="0"/>
        <w:jc w:val="center"/>
        <w:tblLayout w:type="fixed"/>
        <w:tblLook w:firstColumn="1" w:firstRow="1" w:lastColumn="0" w:lastRow="0" w:noHBand="0" w:noVBand="1" w:val="04A0"/>
      </w:tblPr>
      <w:tblGrid>
        <w:gridCol w:w="2551"/>
        <w:gridCol w:w="2438"/>
        <w:gridCol w:w="2438"/>
        <w:gridCol w:w="1928"/>
      </w:tblGrid>
      <w:tr>
        <w:trPr>
          <w:cantSplit/>
          <w:tblHeader/>
        </w:trPr>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left"/>
            </w:pPr>
            <w:r>
              <w:rPr>
                <w:rFonts w:ascii="Times New Roman" w:hAnsi="Times New Roman"/>
                <w:b/>
                <w:color w:val="000000"/>
                <w:sz w:val="21"/>
              </w:rPr>
              <w:t>Серия</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Начало МСК</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Окончание МСК</w:t>
            </w:r>
          </w:p>
        </w:tc>
        <w:tc>
          <w:tcPr>
            <w:tcW w:type="dxa" w:w="19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Календарно ч</w:t>
            </w:r>
          </w:p>
        </w:tc>
      </w:tr>
      <w:tr>
        <w:trPr>
          <w:cantSplit/>
        </w:trPr>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Недействительная предварительная серия</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20.10.2026 15:52:28</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20.10.2026 17:49:16</w:t>
            </w:r>
          </w:p>
        </w:tc>
        <w:tc>
          <w:tcPr>
            <w:tcW w:type="dxa" w:w="19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1.95</w:t>
            </w:r>
          </w:p>
        </w:tc>
      </w:tr>
      <w:tr>
        <w:trPr>
          <w:cantSplit/>
        </w:trPr>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Основная серия и обычный длинный контроль</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20.10.2026 18:20:07</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21.10.2026 20:04:19</w:t>
            </w:r>
          </w:p>
        </w:tc>
        <w:tc>
          <w:tcPr>
            <w:tcW w:type="dxa" w:w="19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25.74</w:t>
            </w:r>
          </w:p>
        </w:tc>
      </w:tr>
    </w:tbl>
    <w:p>
      <w:pPr>
        <w:spacing w:after="20"/>
      </w:pPr>
    </w:p>
    <w:p>
      <w:pPr>
        <w:jc w:val="both"/>
      </w:pPr>
      <w:r>
        <w:t>Календарный интервал рассчитан от начала первой до конца последней сохранённой сессии серии. Он включает паузы и чередование попыток, поэтому не равен сумме активного времени и не является отдельным замером труда организатора. Подготовка окружения до первой сессии и оформление отчёта после последней в этот интервал не входят.</w:t>
      </w:r>
    </w:p>
    <w:tbl>
      <w:tblPr>
        <w:tblW w:type="auto" w:w="0"/>
        <w:jc w:val="center"/>
        <w:tblLayout w:type="fixed"/>
        <w:tblLook w:firstColumn="1" w:firstRow="1" w:lastColumn="0" w:lastRow="0" w:noHBand="0" w:noVBand="1" w:val="04A0"/>
      </w:tblPr>
      <w:tblGrid>
        <w:gridCol w:w="2438"/>
        <w:gridCol w:w="6917"/>
      </w:tblGrid>
      <w:tr>
        <w:trPr>
          <w:cantSplit/>
          <w:tblHeader/>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left"/>
            </w:pPr>
            <w:r>
              <w:rPr>
                <w:rFonts w:ascii="Times New Roman" w:hAnsi="Times New Roman"/>
                <w:b/>
                <w:color w:val="000000"/>
                <w:sz w:val="21"/>
              </w:rPr>
              <w:t>Параметр</w:t>
            </w:r>
          </w:p>
        </w:tc>
        <w:tc>
          <w:tcPr>
            <w:tcW w:type="dxa" w:w="69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Зафиксированное значение</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Модель</w:t>
            </w:r>
          </w:p>
        </w:tc>
        <w:tc>
          <w:tcPr>
            <w:tcW w:type="dxa" w:w="69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mlx-community/Qwen2.5-Coder-14B-Instruct-4bit</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Ревизия весов</w:t>
            </w:r>
          </w:p>
        </w:tc>
        <w:tc>
          <w:tcPr>
            <w:tcW w:type="dxa" w:w="69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29efdbab55a161237ab1e432a3abaf6c7ae2b477</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Ноутбук</w:t>
            </w:r>
          </w:p>
        </w:tc>
        <w:tc>
          <w:tcPr>
            <w:tcW w:type="dxa" w:w="69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Apple M4 Pro, 24 GiB RAM, macOS arm64</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ПО</w:t>
            </w:r>
          </w:p>
        </w:tc>
        <w:tc>
          <w:tcPr>
            <w:tcW w:type="dxa" w:w="69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Python 3.13.7; MLX 0.32.3; mlx-lm 0.32.0</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ОС и компилятор</w:t>
            </w:r>
          </w:p>
        </w:tc>
        <w:tc>
          <w:tcPr>
            <w:tcW w:type="dxa" w:w="69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macOS 26.6.2, build 25G83; Apple clang 17.0.0, clang-1700.0.13.3; macOS SDK 15.4</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Генерация</w:t>
            </w:r>
          </w:p>
        </w:tc>
        <w:tc>
          <w:tcPr>
            <w:tcW w:type="dxa" w:w="69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temperature 0.7; top_p 0.8; top_k 20; repetition_penalty 1.05; max_tokens 12288</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Протокол</w:t>
            </w:r>
          </w:p>
        </w:tc>
        <w:tc>
          <w:tcPr>
            <w:tcW w:type="dxa" w:w="69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single-file, полный Reuse.c; внешняя диагностика</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Память MLX</w:t>
            </w:r>
          </w:p>
        </w:tc>
        <w:tc>
          <w:tcPr>
            <w:tcW w:type="dxa" w:w="69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KV 8 bit с начала; prefill 128; кеш промптов 0; лимит wired 12 GiB; защитный порог активной памяти 13 GiB</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Общий seed SHA256</w:t>
            </w:r>
          </w:p>
        </w:tc>
        <w:tc>
          <w:tcPr>
            <w:tcW w:type="dxa" w:w="69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172c0e68138870fd19a3fd568985053f7d155357b145b78d1562ca7e18d2697c</w:t>
            </w:r>
          </w:p>
        </w:tc>
      </w:tr>
    </w:tbl>
    <w:p>
      <w:pPr>
        <w:spacing w:after="20"/>
      </w:pPr>
    </w:p>
    <w:p>
      <w:pPr>
        <w:jc w:val="both"/>
      </w:pPr>
      <w:r>
        <w:t>Дополнительный защитный порог процесса — наблюдаемый peak RSS 16 GiB; активная память MLX проверяется каждые 0,5 с. Это периодическая защита одного процесса, а не жёсткое ограничение всей памяти macOS. Наблюдения памяти и события перезапуска сохраняются отдельно.</w:t>
      </w:r>
    </w:p>
    <w:p>
      <w:pPr>
        <w:jc w:val="both"/>
      </w:pPr>
      <w:r>
        <w:t>Обёртка обновлена до 703b25815adfe0c75471a7b9ffb67b3eb980c44c с сохранением локальных улучшений архивирования контекста. Согласование проверено 53 unit тестами и Ruff; eco-doctor и новый базовый каркас прошли 133 проверки ACOM. Для исходников обёртки сохранены контрольные суммы и локальный patch. Установка нового окружения и загрузка весов не понадобились: существующие веса проверены повторно.</w:t>
      </w:r>
    </w:p>
    <w:tbl>
      <w:tblPr>
        <w:tblW w:type="auto" w:w="0"/>
        <w:jc w:val="center"/>
        <w:tblLayout w:type="fixed"/>
        <w:tblLook w:firstColumn="1" w:firstRow="1" w:lastColumn="0" w:lastRow="0" w:noHBand="0" w:noVBand="1" w:val="04A0"/>
      </w:tblPr>
      <w:tblGrid>
        <w:gridCol w:w="2438"/>
        <w:gridCol w:w="454"/>
        <w:gridCol w:w="1531"/>
        <w:gridCol w:w="1531"/>
        <w:gridCol w:w="737"/>
        <w:gridCol w:w="1020"/>
        <w:gridCol w:w="1644"/>
      </w:tblGrid>
      <w:tr>
        <w:trPr>
          <w:cantSplit/>
          <w:tblHeader/>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left"/>
            </w:pPr>
            <w:r>
              <w:rPr>
                <w:rFonts w:ascii="Times New Roman" w:hAnsi="Times New Roman"/>
                <w:b/>
                <w:color w:val="000000"/>
                <w:sz w:val="21"/>
              </w:rPr>
              <w:t>Промпт</w:t>
            </w:r>
          </w:p>
        </w:tc>
        <w:tc>
          <w:tcPr>
            <w:tcW w:type="dxa" w:w="4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Входные токены</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Выходные токены</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API</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Уточн.</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Известно активно с</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4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264342</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84117</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26</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25</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6208.55</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4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207129</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56594</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15</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14</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4581.64</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4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208853</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66879</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16</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15</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5277.83</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4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227036</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69210</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16</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15</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5516.27</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4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128199</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43300</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9</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8</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3473.54</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4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167169</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69557</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15</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14</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4877.55</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4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229326</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77558</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16</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15</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6031.05</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4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167120</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70601</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15</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14</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4947.54</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4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162776</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56015</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11</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10</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4369.06</w:t>
            </w:r>
          </w:p>
        </w:tc>
      </w:tr>
    </w:tbl>
    <w:p>
      <w:pPr>
        <w:spacing w:after="20"/>
      </w:pPr>
    </w:p>
    <w:p>
      <w:pPr>
        <w:jc w:val="both"/>
      </w:pPr>
      <w:r>
        <w:t>Локальные запросы имеют нулевую тарифную стоимость токенов, 0 USD. Энергопотребление, амортизация и стоимость ноутбука не измерялись. CPU время готового компонента измеряется отдельно от времени получения решения моделью.</w:t>
      </w:r>
    </w:p>
    <w:p>
      <w:pPr>
        <w:jc w:val="both"/>
      </w:pPr>
      <w:r>
        <w:t>Учёт токенов и части времени неполон: транспортный сбой краткого варианта не вернул usage; в первом повторе обычного длинного варианта дополнительно прервана незавершённая сессия. Токены и активное время в сводных таблицах — известные суммы. API попытки включают нижнюю границу незарегистрированных прерванных обращений. Исходные события сохранены в requests.jsonl и interrupted-sessions.jsonl. Неполные суммы нельзя считать точными полными затратами.</w:t>
      </w:r>
    </w:p>
    <w:p>
      <w:pPr>
        <w:jc w:val="both"/>
      </w:pPr>
      <w:r>
        <w:t>Предварительная серия experiment-20261020-acom-gost признана недействительной для сравнения: доверенный имитатор шины повторно вызывал Init после Alloc, хотя исходная фабрика преподавателя уже выполнила инициализацию. Это могло вызвать ошибку внутри D при передаче интерфейса Y вместо ожидаемого исходного интерфейса. Организатор исправил тестовое окружение в отдельном checks-v2, сохранил исходную серию, прежние тесты и все расходы. Изменение эталона потребовало новой независимой серии с неизменяемым общим seed-v2. Результаты старой серии не используются для оценки качества промптов.</w:t>
      </w:r>
    </w:p>
    <w:tbl>
      <w:tblPr>
        <w:tblW w:type="auto" w:w="0"/>
        <w:jc w:val="center"/>
        <w:tblLayout w:type="fixed"/>
        <w:tblLook w:firstColumn="1" w:firstRow="1" w:lastColumn="0" w:lastRow="0" w:noHBand="0" w:noVBand="1" w:val="04A0"/>
      </w:tblPr>
      <w:tblGrid>
        <w:gridCol w:w="3231"/>
        <w:gridCol w:w="1701"/>
        <w:gridCol w:w="1701"/>
        <w:gridCol w:w="737"/>
        <w:gridCol w:w="1984"/>
      </w:tblGrid>
      <w:tr>
        <w:trPr>
          <w:cantSplit/>
          <w:tblHeader/>
        </w:trPr>
        <w:tc>
          <w:tcPr>
            <w:tcW w:type="dxa" w:w="32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left"/>
            </w:pPr>
            <w:r>
              <w:rPr>
                <w:rFonts w:ascii="Times New Roman" w:hAnsi="Times New Roman"/>
                <w:b/>
                <w:color w:val="000000"/>
                <w:sz w:val="21"/>
              </w:rPr>
              <w:t>Объём</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Входные токены</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Выходные токены</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API</w:t>
            </w:r>
          </w:p>
        </w:tc>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Известно активно с</w:t>
            </w:r>
          </w:p>
        </w:tc>
      </w:tr>
      <w:tr>
        <w:trPr>
          <w:cantSplit/>
        </w:trPr>
        <w:tc>
          <w:tcPr>
            <w:tcW w:type="dxa" w:w="32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Предварительная недействительная серия</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272951</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61546</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15</w:t>
            </w:r>
          </w:p>
        </w:tc>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5570.69</w:t>
            </w:r>
          </w:p>
        </w:tc>
      </w:tr>
      <w:tr>
        <w:trPr>
          <w:cantSplit/>
        </w:trPr>
        <w:tc>
          <w:tcPr>
            <w:tcW w:type="dxa" w:w="32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Отдельный прогрев</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32</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w:t>
            </w:r>
          </w:p>
        </w:tc>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0.645</w:t>
            </w:r>
          </w:p>
        </w:tc>
      </w:tr>
      <w:tr>
        <w:trPr>
          <w:cantSplit/>
        </w:trPr>
        <w:tc>
          <w:tcPr>
            <w:tcW w:type="dxa" w:w="32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Всего для локальной модели обе серии и прогрев</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2034933</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655379</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155</w:t>
            </w:r>
          </w:p>
        </w:tc>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50854.38</w:t>
            </w:r>
          </w:p>
        </w:tc>
      </w:tr>
    </w:tbl>
    <w:p>
      <w:pPr>
        <w:spacing w:after="20"/>
      </w:pPr>
    </w:p>
    <w:p>
      <w:pPr>
        <w:jc w:val="both"/>
      </w:pPr>
      <w:r>
        <w:t>Расход прогрева указан отдельно. Подготовка окружения, труд организатора и написание отчёта в эти измерения не входят и полностью не измерялись. Предварительные расходы не распределены произвольно между новыми независимыми повторами.</w:t>
      </w:r>
    </w:p>
    <w:p>
      <w:pPr>
        <w:pStyle w:val="Heading1"/>
      </w:pPr>
      <w:bookmarkStart w:id="6" w:name="arpo_section_6"/>
      <w:r>
        <w:t>6 История исправлений и анализ полноты</w:t>
      </w:r>
      <w:bookmarkEnd w:id="6"/>
    </w:p>
    <w:p>
      <w:pPr>
        <w:jc w:val="both"/>
      </w:pPr>
      <w:r>
        <w:t>Критические ошибки касались самого механизма ACOM. В первом обычном длинном повторе ответ 10 создавал отдельное управление ссылками для публичных X/Y Lab2: арифметические методы были доступны, но независимые профили A/C выявили по 79 нарушений идентичности и переходов. Во втором обычном длинном повторе ответ 7 ошибочно трактовал адрес поля указателя на private inner Unknown как адрес встроенного интерфейса. Такой адрес не является интерфейсом объекта и не может служить canonical Unknown Lab2.</w:t>
      </w:r>
    </w:p>
    <w:p>
      <w:pPr>
        <w:jc w:val="both"/>
      </w:pPr>
      <w:r>
        <w:t>Отдельная группа ошибок относится к владению. В ответе 7 второго ГОСТ повтора конструктор агрегата снимал начальную частную ссылку, а обычное создание оставляло лишнюю ссылку при успехе и могло дважды освободить объект при отказе QI. Исправления запрашивались у модели как различение случаев создания, с сохранением всех расходов. Такие дефекты нельзя оценить только по правильности четырёх арифметических результатов.</w:t>
      </w:r>
    </w:p>
    <w:p>
      <w:pPr>
        <w:jc w:val="both"/>
      </w:pPr>
      <w:r>
        <w:t>Во втором обычном длинном повторе ответ 8 уже проходил демонстрационный EcoMain, но независимый клиент с UBSan остановился на неверном owner offset в Lab2X_AddRef. Правильные значения калькулятора и даже успешная сборка поэтому проверялись отдельно от корректного управления интерфейсами и ссылками.</w:t>
      </w:r>
    </w:p>
    <w:p>
      <w:pPr>
        <w:jc w:val="both"/>
      </w:pPr>
      <w:r>
        <w:t>Соблюдение языка проверялось отдельно от архитектуры. Во втором кратком повторе ответы 7 и 8 сохраняли исправленную логику, но повторно добавляли комментарии C99 вместо допустимых C89 block comments. В первом обычном длинном повторе ответ 13 побайтно повторил предыдущий файл и не устранил четыре отсутствующих предварительных объявления. Эти ответы и расходы учтены как реальные неудачи; формальное наличие подробного уточнения ещё не означает, что модель его выполнила.</w:t>
      </w:r>
    </w:p>
    <w:p>
      <w:pPr>
        <w:jc w:val="both"/>
      </w:pPr>
      <w:r>
        <w:t>Ручная проверка ABI дала дополнительный результат: в ответе 7 третьего краткого повтора ECOCALLMETHOD был помещён перед именами в инициализаторах vtables, а не в прототипы и определения callback функций. В используемой ветке SDK для этой платформы макрос пуст, поэтому такой текст компилировался. Требование к объявлениям всё равно не выполнено; исправление запрошено у модели и включено в расходы. Компиляция на одной платформе сама по себе не подтверждает корректное оформление ABI для других платформ.</w:t>
      </w:r>
    </w:p>
    <w:p>
      <w:pPr>
        <w:jc w:val="both"/>
      </w:pPr>
      <w:r>
        <w:t>Окончательная оценка понимания основана на коде и наблюдаемом поведении: публичные QI AddRef Release используют контролирующий Unknown; private Unknown отдельно управляет внутренней жизнью; Lab2 отдаёт настоящий интерфейс Lab65, а собственные X/Y передают арифметику одному E. Это подтверждает реализацию заданного механизма после учитываемых уточнений. Прохождение конечных сценариев не означает, что модель самостоятельно верно поняла всю технологию с первого ответа или что измерено её внутреннее понимание.</w:t>
      </w:r>
    </w:p>
    <w:p>
      <w:pPr>
        <w:pStyle w:val="Heading2"/>
      </w:pPr>
      <w:r>
        <w:t>Короткий промпт повтор 1</w:t>
      </w:r>
    </w:p>
    <w:p>
      <w:pPr>
        <w:jc w:val="both"/>
      </w:pPr>
      <w:r>
        <w:t>Файл Reuse.c: 556 строк; проверочных циклов: 25. Первичная независимая проверка: не пройдена. Окончательная проверка: пройдена. Источник: 20261020-182007-14dc44ee.</w:t>
      </w:r>
    </w:p>
    <w:p>
      <w:pPr>
        <w:jc w:val="both"/>
      </w:pPr>
      <w:r>
        <w:t>Пример диагностики неудачной версии: unknown type name 'IEcoLab65Impl'; did you mean 'EcoLab65Impl'?. Полные сообщения сохранены в журнале.</w:t>
      </w:r>
    </w:p>
    <w:p>
      <w:pPr>
        <w:jc w:val="both"/>
      </w:pPr>
      <w:r>
        <w:t>Ручной разбор сохранён для ответов 4, 5, 1, 9, 10, 11, 12, 13, 14, 15, 16, 17, 18, 19, 20, 21, 22, 23, 24, 25, 26. Полные замечания по каждой версии находятся в review-history.json и сопоставлены с контрольными суммами исходников.</w:t>
      </w:r>
    </w:p>
    <w:p>
      <w:pPr>
        <w:jc w:val="both"/>
      </w:pPr>
      <w:r>
        <w:t>После нескольких неудачных полных генераций работа продолжалась по этапам: методы Lab65, его конструктор, затем внешний Lab2. Исправлялись делегирование публичных интерфейсов, очистка ресурсов и управление ссылками. Последний ответ 26 добавил два содержательных комментария о владении; остальные токены совпали с проверенным ответом 25.</w:t>
      </w:r>
    </w:p>
    <w:p>
      <w:pPr>
        <w:jc w:val="both"/>
      </w:pPr>
      <w:r>
        <w:t>Оба профиля A/C прошли по 28 936 утверждений. Ручной разбор подтвердил единую внешнюю идентичность, один включённый E и хранение только приватного Unknown агрегата. Один ранний транспортный сбой не вернул usage: итог токенов является известной нижней границей.</w:t>
      </w:r>
    </w:p>
    <w:p>
      <w:pPr>
        <w:jc w:val="both"/>
      </w:pPr>
      <w:r>
        <w:t>Сохранено уточнений организатора: 25 (followup-01.txt — followup-25.txt). Полные тексты доступны в журнале запуска; продолжения уже включают помощь после исходного промпта.</w:t>
      </w:r>
    </w:p>
    <w:p>
      <w:pPr>
        <w:jc w:val="both"/>
      </w:pPr>
      <w:r>
        <w:t>Контекст явно сокращался с архивированием предыдущей переписки. Первоначальные требования и накопленные затраты сохранены. Это влияет на поведение и стоимость последующих ответов.</w:t>
      </w:r>
    </w:p>
    <w:p>
      <w:pPr>
        <w:pStyle w:val="Heading2"/>
      </w:pPr>
      <w:r>
        <w:t>Техническое задание по ГОСТ повтор 1</w:t>
      </w:r>
    </w:p>
    <w:p>
      <w:pPr>
        <w:jc w:val="both"/>
      </w:pPr>
      <w:r>
        <w:t>Файл Reuse.c: 732 строк; проверочных циклов: 15. Первичная независимая проверка: не пройдена. Окончательная проверка: пройдена. Источник: 20261020-211201-98f1f599.</w:t>
      </w:r>
    </w:p>
    <w:p>
      <w:pPr>
        <w:jc w:val="both"/>
      </w:pPr>
      <w:r>
        <w:t>Пример диагностики неудачной версии: invalid preprocessing directive. Полные сообщения сохранены в журнале.</w:t>
      </w:r>
    </w:p>
    <w:p>
      <w:pPr>
        <w:jc w:val="both"/>
      </w:pPr>
      <w:r>
        <w:t>Ручной разбор сохранён для ответов 1, 2, 3, 4, 5, 6, 7, 8, 9, 10, 11, 12, 13, 14, 15. Полные замечания по каждой версии находятся в review-history.json и сопоставлены с контрольными суммами исходников.</w:t>
      </w:r>
    </w:p>
    <w:p>
      <w:pPr>
        <w:jc w:val="both"/>
      </w:pPr>
      <w:r>
        <w:t>Первое ТЗ по ГОСТ не обеспечило готовый результат с одного ответа. Для доведения потребовались уточнения методов, создания объектов и владения. В ответе 15 Qwen добавила четыре комментария о ссылках и порядке освобождения; функциональные токены сохранились из ответа 14.</w:t>
      </w:r>
    </w:p>
    <w:p>
      <w:pPr>
        <w:jc w:val="both"/>
      </w:pPr>
      <w:r>
        <w:t>Оба профиля A/C прошли по 28 936 утверждений. Разбор кода подтвердил переходы между интерфейсами, частный счётчик Lab65, общий внешний счётчик Lab2 и освобождение памяти до последнего Release аллокатора. Токены, число запросов и время этой попытки сохранены полностью.</w:t>
      </w:r>
    </w:p>
    <w:p>
      <w:pPr>
        <w:jc w:val="both"/>
      </w:pPr>
      <w:r>
        <w:t>Сохранено уточнений организатора: 14 (followup-01.txt — followup-14.txt). Полные тексты доступны в журнале запуска; продолжения уже включают помощь после исходного промпта.</w:t>
      </w:r>
    </w:p>
    <w:p>
      <w:pPr>
        <w:jc w:val="both"/>
      </w:pPr>
      <w:r>
        <w:t>Контекст явно сокращался с архивированием предыдущей переписки. Первоначальные требования и накопленные затраты сохранены. Это влияет на поведение и стоимость последующих ответов.</w:t>
      </w:r>
    </w:p>
    <w:p>
      <w:pPr>
        <w:pStyle w:val="Heading2"/>
      </w:pPr>
      <w:r>
        <w:t>Обычный длинный промпт повтор 1</w:t>
      </w:r>
    </w:p>
    <w:p>
      <w:pPr>
        <w:jc w:val="both"/>
      </w:pPr>
      <w:r>
        <w:t>Файл Reuse.c: 742 строк; проверочных циклов: 15. Первичная независимая проверка: не пройдена. Окончательная проверка: пройдена. Источник: 20261020-211627-1c611fe0.</w:t>
      </w:r>
    </w:p>
    <w:p>
      <w:pPr>
        <w:jc w:val="both"/>
      </w:pPr>
      <w:r>
        <w:t>Пример диагностики неудачной версии: invalid preprocessing directive. Полные сообщения сохранены в журнале.</w:t>
      </w:r>
    </w:p>
    <w:p>
      <w:pPr>
        <w:jc w:val="both"/>
      </w:pPr>
      <w:r>
        <w:t>Ручной разбор сохранён для ответов 1, 2, 3, 4, 5, 6, 7, 8, 9, 10, 11, 12, 13, 14, 15. Полные замечания по каждой версии находятся в review-history.json и сопоставлены с контрольными суммами исходников.</w:t>
      </w:r>
    </w:p>
    <w:p>
      <w:pPr>
        <w:jc w:val="both"/>
      </w:pPr>
      <w:r>
        <w:t>Полный Lab2 появился в ответе 10, но его X/Y управляли ссылками независимо: тесты выявили по 79 нарушений в каждом профиле. Последующие исправления устранили это разделение, восстановили случайно удалённые арифметические обёртки и предварительные объявления. Ответ 13 побайтно повторил ошибочную предыдущую версию. В финальном ответе 15 исправлены только два неверных типа структуры при восстановлении владельца интерфейса Y.</w:t>
      </w:r>
    </w:p>
    <w:p>
      <w:pPr>
        <w:jc w:val="both"/>
      </w:pPr>
      <w:r>
        <w:t>Оба профиля A/C прошли по 28 936 утверждений; остальные токены совпадают с ответом 14. Ручной разбор подтвердил контролирующий Unknown, один E и корректный баланс конструктора. Во время продолжения была прервана сессия без записанного usage и точной длительности. Сохранённые суммы времени, токенов и попыток API являются нижними границами.</w:t>
      </w:r>
    </w:p>
    <w:p>
      <w:pPr>
        <w:jc w:val="both"/>
      </w:pPr>
      <w:r>
        <w:t>Сохранено уточнений организатора: 15 (followup-01.txt — followup-15.txt). Полные тексты доступны в журнале запуска; продолжения уже включают помощь после исходного промпта.</w:t>
      </w:r>
    </w:p>
    <w:p>
      <w:pPr>
        <w:jc w:val="both"/>
      </w:pPr>
      <w:r>
        <w:t>Контекст явно сокращался с архивированием предыдущей переписки. Первоначальные требования и накопленные затраты сохранены. Это влияет на поведение и стоимость последующих ответов.</w:t>
      </w:r>
    </w:p>
    <w:p>
      <w:pPr>
        <w:pStyle w:val="Heading2"/>
      </w:pPr>
      <w:r>
        <w:t>Техническое задание по ГОСТ повтор 2</w:t>
      </w:r>
    </w:p>
    <w:p>
      <w:pPr>
        <w:jc w:val="both"/>
      </w:pPr>
      <w:r>
        <w:t>Файл Reuse.c: 621 строк; проверочных циклов: 16. Первичная независимая проверка: не пройдена. Окончательная проверка: пройдена. Источник: 20261020-212050-b55d6456.</w:t>
      </w:r>
    </w:p>
    <w:p>
      <w:pPr>
        <w:jc w:val="both"/>
      </w:pPr>
      <w:r>
        <w:t>Пример диагностики неудачной версии: unknown type name 'IEcoUnknownVtbl'; did you mean 'IEcoUnknownVTbl'?. Полные сообщения сохранены в журнале.</w:t>
      </w:r>
    </w:p>
    <w:p>
      <w:pPr>
        <w:jc w:val="both"/>
      </w:pPr>
      <w:r>
        <w:t>Ручной разбор сохранён для ответов 1, 2, 3, 4, 5, 6, 7, 8, 9, 10, 11, 12, 13, 14, 15, 16. Полные замечания по каждой версии находятся в review-history.json и сопоставлены с контрольными суммами исходников.</w:t>
      </w:r>
    </w:p>
    <w:p>
      <w:pPr>
        <w:jc w:val="both"/>
      </w:pPr>
      <w:r>
        <w:t>Основные неудачи связаны с балансом начальной ссылки: успех оставлял лишнюю ссылку, а отказ QueryInterface мог дважды освободить объект. Ответы 11 и 12 не устранили дефект, причём ответ 12 побайтно повторил предыдущий файл. После удаления ошибочного хвоста только из справочной копии промпта модель в ответе 13 сгенерировала правильное однократное освобождение и очищение локального указателя. Добавленные комментарии C99 потребовали отдельного продолжения для строгой сборки C89.</w:t>
      </w:r>
    </w:p>
    <w:p>
      <w:pPr>
        <w:jc w:val="both"/>
      </w:pPr>
      <w:r>
        <w:t>В ответе 14 устранены комментарии C99 и отдельно проверен Lab65. Ответ 15 добавил полный Lab2, но X/Y имели разные адреса Unknown, а переход к Lab65 отсутствовал. В финальном ответе 16 модель исправила семь управляющих методов и добавила верный комментарий о приватном владении, сохранив конструкторы и арифметику. Обе полные проверки A/C дали по 28 936 утверждений; разбор архитектуры и читаемости завершён. Учёт токенов, запросов и времени этой попытки полон.</w:t>
      </w:r>
    </w:p>
    <w:p>
      <w:pPr>
        <w:jc w:val="both"/>
      </w:pPr>
      <w:r>
        <w:t>Сохранено уточнений организатора: 15 (followup-01.txt — followup-15.txt). Полные тексты доступны в журнале запуска; продолжения уже включают помощь после исходного промпта.</w:t>
      </w:r>
    </w:p>
    <w:p>
      <w:pPr>
        <w:jc w:val="both"/>
      </w:pPr>
      <w:r>
        <w:t>Контекст явно сокращался с архивированием предыдущей переписки. Первоначальные требования и накопленные затраты сохранены. Это влияет на поведение и стоимость последующих ответов.</w:t>
      </w:r>
    </w:p>
    <w:p>
      <w:pPr>
        <w:pStyle w:val="Heading2"/>
      </w:pPr>
      <w:r>
        <w:t>Обычный длинный промпт повтор 2</w:t>
      </w:r>
    </w:p>
    <w:p>
      <w:pPr>
        <w:jc w:val="both"/>
      </w:pPr>
      <w:r>
        <w:t>Файл Reuse.c: 631 строк; проверочных циклов: 9. Первичная независимая проверка: не пройдена. Окончательная проверка: пройдена. Источник: 20261020-212446-4628c000.</w:t>
      </w:r>
    </w:p>
    <w:p>
      <w:pPr>
        <w:jc w:val="both"/>
      </w:pPr>
      <w:r>
        <w:t>Пример диагностики неудачной версии: // comments are not allowed in this language. Полные сообщения сохранены в журнале.</w:t>
      </w:r>
    </w:p>
    <w:p>
      <w:pPr>
        <w:jc w:val="both"/>
      </w:pPr>
      <w:r>
        <w:t>Отмеченные нарушенные свойства: addref_release_pair. Полный перечень сохранён в журнале.</w:t>
      </w:r>
    </w:p>
    <w:p>
      <w:pPr>
        <w:jc w:val="both"/>
      </w:pPr>
      <w:r>
        <w:t>Ручной разбор сохранён для ответов 1, 2, 3, 4, 5, 6, 7, 8, 9. Полные замечания по каждой версии находятся в review-history.json и сопоставлены с контрольными суммами исходников.</w:t>
      </w:r>
    </w:p>
    <w:p>
      <w:pPr>
        <w:jc w:val="both"/>
      </w:pPr>
      <w:r>
        <w:t>Ответ 7 использовал адрес поля указателя как интерфейс Unknown. После его исправления ответ 8 уже проходил демонстрацию, но независимый клиент с UBSan выявил неверный тип структуры в offsetof функции Lab2X_AddRef. В ответе 9 модель исправила только этот тип, не меняя остального кода.</w:t>
      </w:r>
    </w:p>
    <w:p>
      <w:pPr>
        <w:jc w:val="both"/>
      </w:pPr>
      <w:r>
        <w:t>Финальная версия прошла по 28 936 утверждений в A/C. Ручной разбор подтвердил сохранность проверенных методов Lab65, единый внешний счётчик Lab2, один включённый E, приватное владение агрегатом и баланс освобождения. Токены, запросы и время учтены полностью.</w:t>
      </w:r>
    </w:p>
    <w:p>
      <w:pPr>
        <w:jc w:val="both"/>
      </w:pPr>
      <w:r>
        <w:t>Сохранено уточнений организатора: 8 (followup-01.txt — followup-08.txt). Полные тексты доступны в журнале запуска; продолжения уже включают помощь после исходного промпта.</w:t>
      </w:r>
    </w:p>
    <w:p>
      <w:pPr>
        <w:jc w:val="both"/>
      </w:pPr>
      <w:r>
        <w:t>Контекст явно сокращался с архивированием предыдущей переписки. Первоначальные требования и накопленные затраты сохранены. Это влияет на поведение и стоимость последующих ответов.</w:t>
      </w:r>
    </w:p>
    <w:p>
      <w:pPr>
        <w:pStyle w:val="Heading2"/>
      </w:pPr>
      <w:r>
        <w:t>Короткий промпт повтор 2</w:t>
      </w:r>
    </w:p>
    <w:p>
      <w:pPr>
        <w:jc w:val="both"/>
      </w:pPr>
      <w:r>
        <w:t>Файл Reuse.c: 584 строк; проверочных циклов: 15. Первичная независимая проверка: не пройдена. Окончательная проверка: пройдена. Источник: 20261020-212925-cba220d8.</w:t>
      </w:r>
    </w:p>
    <w:p>
      <w:pPr>
        <w:jc w:val="both"/>
      </w:pPr>
      <w:r>
        <w:t>Пример диагностики неудачной версии: 'SdkAbiReference.h' file not found. Полные сообщения сохранены в журнале.</w:t>
      </w:r>
    </w:p>
    <w:p>
      <w:pPr>
        <w:jc w:val="both"/>
      </w:pPr>
      <w:r>
        <w:t>Ручной разбор сохранён для ответов 1, 2, 3, 4, 5, 6, 7, 8, 9, 10, 11, 12, 13, 14, 15. Полные замечания по каждой версии находятся в review-history.json и сопоставлены с контрольными суммами исходников.</w:t>
      </w:r>
    </w:p>
    <w:p>
      <w:pPr>
        <w:jc w:val="both"/>
      </w:pPr>
      <w:r>
        <w:t>Для Lab65 последовательно исправлялись методы управления и создание объекта; затем Qwen добавила отдельный внешний Lab2. Ответ 13 уже прошёл оба профиля, но два комментария неверно объясняли владение. Ответ 14 исправил комментарии и одновременно внёс ошибку типа в смещении Y Release. Ответ 15 исправил только этот тип; исполняемые токены совпали с проверенным ответом 13.</w:t>
      </w:r>
    </w:p>
    <w:p>
      <w:pPr>
        <w:jc w:val="both"/>
      </w:pPr>
      <w:r>
        <w:t>Оба профиля A/C прошли по 28 936 утверждений. Ручная проверка подтвердила одну идентичность, единственный E, приватный Unknown агрегата, правильные переходы QueryInterface и освобождение ресурсов. Все 15 запросов и исправления включены в итоговые затраты.</w:t>
      </w:r>
    </w:p>
    <w:p>
      <w:pPr>
        <w:jc w:val="both"/>
      </w:pPr>
      <w:r>
        <w:t>Сохранено уточнений организатора: 14 (followup-01.txt — followup-14.txt). Полные тексты доступны в журнале запуска; продолжения уже включают помощь после исходного промпта.</w:t>
      </w:r>
    </w:p>
    <w:p>
      <w:pPr>
        <w:jc w:val="both"/>
      </w:pPr>
      <w:r>
        <w:t>Контекст явно сокращался с архивированием предыдущей переписки. Первоначальные требования и накопленные затраты сохранены. Это влияет на поведение и стоимость последующих ответов.</w:t>
      </w:r>
    </w:p>
    <w:p>
      <w:pPr>
        <w:pStyle w:val="Heading2"/>
      </w:pPr>
      <w:r>
        <w:t>Обычный длинный промпт повтор 3</w:t>
      </w:r>
    </w:p>
    <w:p>
      <w:pPr>
        <w:jc w:val="both"/>
      </w:pPr>
      <w:r>
        <w:t>Файл Reuse.c: 811 строк; проверочных циклов: 16. Первичная независимая проверка: не пройдена. Окончательная проверка: пройдена. Источник: 20261020-213246-2112456a.</w:t>
      </w:r>
    </w:p>
    <w:p>
      <w:pPr>
        <w:jc w:val="both"/>
      </w:pPr>
      <w:r>
        <w:t>Пример диагностики неудачной версии: 'SdkAbiReference.h' file not found. Полные сообщения сохранены в журнале.</w:t>
      </w:r>
    </w:p>
    <w:p>
      <w:pPr>
        <w:jc w:val="both"/>
      </w:pPr>
      <w:r>
        <w:t>Ручной разбор сохранён для ответов 1, 2, 3, 4, 5, 6, 7, 8, 9, 10, 11, 12, 13, 14, 15, 16. Полные замечания по каждой версии находятся в review-history.json и сопоставлены с контрольными суммами исходников.</w:t>
      </w:r>
    </w:p>
    <w:p>
      <w:pPr>
        <w:jc w:val="both"/>
      </w:pPr>
      <w:r>
        <w:t>При доведении Lab65 исправлялись проверка выходного указателя, ошибки зависимости, снятие приватной ссылки и освобождение временных интерфейсов. Ответ 14 прошёл промежуточную проверку Lab65; два оставшихся отказа соответствовали ещё отсутствовавшему Lab2. Эти этапы не считались готовой лабораторной.</w:t>
      </w:r>
    </w:p>
    <w:p>
      <w:pPr>
        <w:jc w:val="both"/>
      </w:pPr>
      <w:r>
        <w:t>Ответ 15 добавил отдельный Lab2, но его X/Y возвращали собственные Unknown, конструктор создавал два E и сохранял лишнюю начальную ссылку. Ответ 16 изменил только шесть управляющих методов, получение X через уже созданный E, условие очистки и один комментарий о владении. Оба профиля A/C прошли по 28 936 утверждений; ручной разбор подтвердил настоящую агрегацию и сохранность проверенного Lab65. Все 16 запросов учтены.</w:t>
      </w:r>
    </w:p>
    <w:p>
      <w:pPr>
        <w:jc w:val="both"/>
      </w:pPr>
      <w:r>
        <w:t>Сохранено уточнений организатора: 15 (followup-01.txt — followup-15.txt). Полные тексты доступны в журнале запуска; продолжения уже включают помощь после исходного промпта.</w:t>
      </w:r>
    </w:p>
    <w:p>
      <w:pPr>
        <w:jc w:val="both"/>
      </w:pPr>
      <w:r>
        <w:t>Контекст явно сокращался с архивированием предыдущей переписки. Первоначальные требования и накопленные затраты сохранены. Это влияет на поведение и стоимость последующих ответов.</w:t>
      </w:r>
    </w:p>
    <w:p>
      <w:pPr>
        <w:pStyle w:val="Heading2"/>
      </w:pPr>
      <w:r>
        <w:t>Короткий промпт повтор 3</w:t>
      </w:r>
    </w:p>
    <w:p>
      <w:pPr>
        <w:jc w:val="both"/>
      </w:pPr>
      <w:r>
        <w:t>Файл Reuse.c: 760 строк; проверочных циклов: 15. Первичная независимая проверка: не пройдена. Окончательная проверка: пройдена. Источник: 20261020-213709-0a0504ad.</w:t>
      </w:r>
    </w:p>
    <w:p>
      <w:pPr>
        <w:jc w:val="both"/>
      </w:pPr>
      <w:r>
        <w:t>Пример диагностики неудачной версии: unknown type name 'IEcoUnknownVtbl'; did you mean 'IEcoUnknownVTbl'?. Полные сообщения сохранены в журнале.</w:t>
      </w:r>
    </w:p>
    <w:p>
      <w:pPr>
        <w:jc w:val="both"/>
      </w:pPr>
      <w:r>
        <w:t>Отмеченные нарушенные свойства: system_and_bus_references_balanced, allocator_references_balanced. Полный перечень сохранён в журнале.</w:t>
      </w:r>
    </w:p>
    <w:p>
      <w:pPr>
        <w:jc w:val="both"/>
      </w:pPr>
      <w:r>
        <w:t>Ручной разбор сохранён для ответов 1, 2, 3, 4, 5, 6, 7, 8, 9, 10, 11, 12, 13, 14, 15. Полные замечания по каждой версии находятся в review-history.json и сопоставлены с контрольными суммами исходников.</w:t>
      </w:r>
    </w:p>
    <w:p>
      <w:pPr>
        <w:jc w:val="both"/>
      </w:pPr>
      <w:r>
        <w:t>Для Lab65 потребовались исправления типов callback функций, таблиц и конструктора. При добавлении Lab2 организатор первоначально неясно указал расположение прежней заглушки; это уточнение исправлено без перезапуска попытки и без скрытия расходов. Ответ 13 добавил отдельный Lab2, но пропустил заголовок CID и содержал ошибки управления интерфейсами и ссылками.</w:t>
      </w:r>
    </w:p>
    <w:p>
      <w:pPr>
        <w:jc w:val="both"/>
      </w:pPr>
      <w:r>
        <w:t>Ответ 14 исправил переходы, идентичность и начальную ссылку, но не добавил два запрошенных освобождения локальных ссылок. Независимый тест обнаружил четыре нарушения баланса при отказах. Ответ 15 добавил только эти два блока. Оба профиля A/C прошли по 28 936 утверждений; ручной разбор подтвердил один E, настоящую агрегацию Lab65, ABI и читаемость. Все этапы, включая неясное уточнение организатора, включены в затраты.</w:t>
      </w:r>
    </w:p>
    <w:p>
      <w:pPr>
        <w:jc w:val="both"/>
      </w:pPr>
      <w:r>
        <w:t>Сохранено уточнений организатора: 14 (followup-01.txt — followup-14.txt). Полные тексты доступны в журнале запуска; продолжения уже включают помощь после исходного промпта.</w:t>
      </w:r>
    </w:p>
    <w:p>
      <w:pPr>
        <w:jc w:val="both"/>
      </w:pPr>
      <w:r>
        <w:t>Контекст явно сокращался с архивированием предыдущей переписки. Первоначальные требования и накопленные затраты сохранены. Это влияет на поведение и стоимость последующих ответов.</w:t>
      </w:r>
    </w:p>
    <w:p>
      <w:pPr>
        <w:pStyle w:val="Heading2"/>
      </w:pPr>
      <w:r>
        <w:t>Техническое задание по ГОСТ повтор 3</w:t>
      </w:r>
    </w:p>
    <w:p>
      <w:pPr>
        <w:jc w:val="both"/>
      </w:pPr>
      <w:r>
        <w:t>Файл Reuse.c: 765 строк; проверочных циклов: 11. Первичная независимая проверка: не пройдена. Окончательная проверка: пройдена. Источник: 20261020-214107-9ca29d1d.</w:t>
      </w:r>
    </w:p>
    <w:p>
      <w:pPr>
        <w:jc w:val="both"/>
      </w:pPr>
      <w:r>
        <w:t>Пример диагностики неудачной версии: invalid preprocessing directive. Полные сообщения сохранены в журнале.</w:t>
      </w:r>
    </w:p>
    <w:p>
      <w:pPr>
        <w:jc w:val="both"/>
      </w:pPr>
      <w:r>
        <w:t>Ручной разбор сохранён для ответов 1, 2, 3, 4, 5, 6, 7, 8, 9, 10, 11. Полные замечания по каждой версии находятся в review-history.json и сопоставлены с контрольными суммами исходников.</w:t>
      </w:r>
    </w:p>
    <w:p>
      <w:pPr>
        <w:jc w:val="both"/>
      </w:pPr>
      <w:r>
        <w:t>После уточнения объявлений и владения ответ 8 прошёл отдельные проверки Lab65. В полном Lab2 ответа 9 интерфейсы X/Y возвращали разные адреса Unknown, а основной QueryInterface не выдавал агрегированный Lab65; сборке также мешал неверный тип внешнего указателя. Ответ 10 исправил шесть управляющих методов X/Y, переход к Lab65 и явное преобразование типа контролирующего указателя. Оба полных профиля прошли по 28 936 утверждений; в ответе 11 добавлен комментарий о приватном владении агрегатом без изменения исполняемого кода.</w:t>
      </w:r>
    </w:p>
    <w:p>
      <w:pPr>
        <w:jc w:val="both"/>
      </w:pPr>
      <w:r>
        <w:t>Финальная версия повторно прошла по 28 936 утверждений в профилях A/C. Ручной разбор подтвердил единый управляющий Unknown, независимую частную жизнь агрегата, один включённый E и баланс всех принадлежащих ссылок. В этой попытке токены, запросы и активное время учтены полностью.</w:t>
      </w:r>
    </w:p>
    <w:p>
      <w:pPr>
        <w:jc w:val="both"/>
      </w:pPr>
      <w:r>
        <w:t>Сохранено уточнений организатора: 10 (followup-01.txt — followup-10.txt). Полные тексты доступны в журнале запуска; продолжения уже включают помощь после исходного промпта.</w:t>
      </w:r>
    </w:p>
    <w:p>
      <w:pPr>
        <w:jc w:val="both"/>
      </w:pPr>
      <w:r>
        <w:t>Контекст явно сокращался с архивированием предыдущей переписки. Первоначальные требования и накопленные затраты сохранены. Это влияет на поведение и стоимость последующих ответов.</w:t>
      </w:r>
    </w:p>
    <w:p>
      <w:pPr>
        <w:jc w:val="both"/>
      </w:pPr>
      <w:r>
        <w:t>Ручной разбор всех девяти итоговых файлов подтвердил единую публичную идентичность, делегирование управляющему Unknown, отдельный приватный Unknown агрегата и один включённый E с получением обоих его интерфейсов. Проверены типы callback функций, переходы QueryInterface, владение ссылками, однократное снятие начальной ссылки и очистка частично созданных объектов. Тексты финальных файлов совпадают с последними ответами Qwen; численный файл первой работы неизменен. Читаемость оценивалась отдельно: содержательные имена, короткие интерфейсные методы, C89 и корректные комментарии о владении. Найденные ошибки и недостатки исправляла модель в тех же попытках; исходники вручную не правились. Эта оценка и конечные тесты не заменяют формального доказательства.</w:t>
      </w:r>
    </w:p>
    <w:p>
      <w:pPr>
        <w:jc w:val="both"/>
      </w:pPr>
      <w:r>
        <w:t>Полнота оценивается по одинаковым критериям приёмки: сборка C89, сохранение численного файла, реальные зависимости A–E, identity, lifetime, агрегат Lab65 и делегирование арифметики. Процент от произвольно выбранного общего балла качества не вычисляется. Итоговое прохождение одинаковых проверок не означает одинаковой читаемости или оптимальности кода.</w:t>
      </w:r>
    </w:p>
    <w:p>
      <w:pPr>
        <w:pStyle w:val="Heading1"/>
      </w:pPr>
      <w:bookmarkStart w:id="7" w:name="arpo_section_7"/>
      <w:r>
        <w:t>7 Применение ГОСТ и сравнение с обычным длинным текстом</w:t>
      </w:r>
      <w:bookmarkEnd w:id="7"/>
    </w:p>
    <w:p>
      <w:pPr>
        <w:jc w:val="both"/>
      </w:pPr>
      <w:r>
        <w:t>Подробный промпт оформлен как техническое задание по структуре ГОСТ 19.201-78 для программного продукта. В нём восемь разделов: введение, основание разработки, назначение, требования, документация, технико-экономические показатели, стадии разработки, контроль и приёмка. Раздел требований раскрыт через функциональность, надёжность, условия эксплуатации, технические средства, совместимость, упаковку, хранение и специальные требования. Структура использована для полноты и прослеживаемости программного контракта. Это учебный промпт в форме ТЗ; отдельная процедура официального утверждения и подписания документа не проводилась. Экономический раздел адаптирован к учебному эксперименту: измеряются токены и время, фиксируется локальный тариф. Производственная годовая потребность и экономическая эффективность внедрения не рассчитывались. Карточка Росстандарта повторно проверена 21.10.2026: для выбранного ГОСТ указан статус «Действует». В эксперименте исследуется структура учебного промпта, а не официальное согласование ТЗ.</w:t>
      </w:r>
    </w:p>
    <w:p>
      <w:pPr>
        <w:jc w:val="both"/>
      </w:pPr>
      <w:r>
        <w:t>Контрольный обычный длинный промпт относится к той же второй работе. Обычный длинный контрольный промпт содержит те же 19 содержательных абзацев в том же порядке. Убраны название ТЗ и разделы ГОСТ, а требования оставлены непрерывным подробным текстом. Совпадение абзацев проверено до генерации. Это позволяет исследовать добавление структуры ТЗ при одинаковом содержании, хотя результаты адаптивных исправлений уже зависят и от последующей диагностики каждого запуска.</w:t>
      </w:r>
    </w:p>
    <w:p>
      <w:pPr>
        <w:jc w:val="both"/>
      </w:pPr>
      <w:r>
        <w:t>Сравнение разделено на общую начальную фазу с бюджетом одного ответа модели и полный путь до приёмки. Начальная фаза использует только одинаковую автоматическую диагностику. Позже организатор адаптирует уточнения и использует накопленный опыт, поэтому полные затраты отражают также помощь организатора, язык и содержание продолжений.</w:t>
      </w:r>
    </w:p>
    <w:tbl>
      <w:tblPr>
        <w:tblW w:type="auto" w:w="0"/>
        <w:jc w:val="center"/>
        <w:tblLayout w:type="fixed"/>
        <w:tblLook w:firstColumn="1" w:firstRow="1" w:lastColumn="0" w:lastRow="0" w:noHBand="0" w:noVBand="1" w:val="04A0"/>
      </w:tblPr>
      <w:tblGrid>
        <w:gridCol w:w="2948"/>
        <w:gridCol w:w="6406"/>
      </w:tblGrid>
      <w:tr>
        <w:trPr>
          <w:cantSplit/>
          <w:tblHeader/>
        </w:trPr>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left"/>
            </w:pPr>
            <w:r>
              <w:rPr>
                <w:rFonts w:ascii="Times New Roman" w:hAnsi="Times New Roman"/>
                <w:b/>
                <w:color w:val="000000"/>
                <w:sz w:val="21"/>
              </w:rPr>
              <w:t>Раздел ТЗ</w:t>
            </w:r>
          </w:p>
        </w:tc>
        <w:tc>
          <w:tcPr>
            <w:tcW w:type="dxa" w:w="640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Применение в промпте</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Введение и основания</w:t>
            </w:r>
          </w:p>
        </w:tc>
        <w:tc>
          <w:tcPr>
            <w:tcW w:type="dxa" w:w="640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Лабораторная 2, повторное использование темы 65, фиксированный контракт</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Назначение</w:t>
            </w:r>
          </w:p>
        </w:tc>
        <w:tc>
          <w:tcPr>
            <w:tcW w:type="dxa" w:w="640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Составной компонент ACOM с сортировкой и калькуляторами</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Требования</w:t>
            </w:r>
          </w:p>
        </w:tc>
        <w:tc>
          <w:tcPr>
            <w:tcW w:type="dxa" w:w="640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ABI, композиция, identity, lifetime, ошибки, C89 и allocator</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Документация</w:t>
            </w:r>
          </w:p>
        </w:tc>
        <w:tc>
          <w:tcPr>
            <w:tcW w:type="dxa" w:w="640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Комментарии о владении; Word пишет организатор</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Показатели</w:t>
            </w:r>
          </w:p>
        </w:tc>
        <w:tc>
          <w:tcPr>
            <w:tcW w:type="dxa" w:w="640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Учёт измеренных токенов, HTTP, времени и ограничений</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Стадии и приёмка</w:t>
            </w:r>
          </w:p>
        </w:tc>
        <w:tc>
          <w:tcPr>
            <w:tcW w:type="dxa" w:w="640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Порядок разработки и одинаковые независимые проверки</w:t>
            </w:r>
          </w:p>
        </w:tc>
      </w:tr>
    </w:tbl>
    <w:p>
      <w:pPr>
        <w:spacing w:after="20"/>
      </w:pPr>
    </w:p>
    <w:p>
      <w:pPr>
        <w:jc w:val="both"/>
      </w:pPr>
      <w:r>
        <w:t>До начала измерений точный токенизатор показал вход первого запроса вместе с общим контекстом: 12 252 токена для короткого промпта, 15 515 для ТЗ, 15 293 для обычного длинного. Структура ТЗ добавляет 222 токена к обычному длинному начальному контексту. Эти значения рассчитываются точным токенизатором и сверяются с usage первых запросов; они не заменяют полный расход последующих исправлений.</w:t>
      </w:r>
    </w:p>
    <w:p>
      <w:pPr>
        <w:jc w:val="both"/>
      </w:pPr>
      <w:r>
        <w:t>Начальная фаза без уточнений организатора Медианы трёх повторов</w:t>
      </w:r>
    </w:p>
    <w:tbl>
      <w:tblPr>
        <w:tblW w:type="auto" w:w="0"/>
        <w:jc w:val="center"/>
        <w:tblLayout w:type="fixed"/>
        <w:tblLook w:firstColumn="1" w:firstRow="1" w:lastColumn="0" w:lastRow="0" w:noHBand="0" w:noVBand="1" w:val="04A0"/>
      </w:tblPr>
      <w:tblGrid>
        <w:gridCol w:w="2551"/>
        <w:gridCol w:w="850"/>
        <w:gridCol w:w="1531"/>
        <w:gridCol w:w="1531"/>
        <w:gridCol w:w="907"/>
        <w:gridCol w:w="1984"/>
      </w:tblGrid>
      <w:tr>
        <w:trPr>
          <w:cantSplit/>
          <w:tblHeader/>
        </w:trPr>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left"/>
            </w:pPr>
            <w:r>
              <w:rPr>
                <w:rFonts w:ascii="Times New Roman" w:hAnsi="Times New Roman"/>
                <w:b/>
                <w:color w:val="000000"/>
                <w:sz w:val="21"/>
              </w:rPr>
              <w:t>Вариант</w:t>
            </w:r>
          </w:p>
        </w:tc>
        <w:tc>
          <w:tcPr>
            <w:tcW w:type="dxa" w:w="8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Итог</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Вход</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Выход</w:t>
            </w:r>
          </w:p>
        </w:tc>
        <w:tc>
          <w:tcPr>
            <w:tcW w:type="dxa" w:w="90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API</w:t>
            </w:r>
          </w:p>
        </w:tc>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Известно активно с</w:t>
            </w:r>
          </w:p>
        </w:tc>
      </w:tr>
      <w:tr>
        <w:trPr>
          <w:cantSplit/>
        </w:trPr>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8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0/3</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12252</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2199</w:t>
            </w:r>
          </w:p>
        </w:tc>
        <w:tc>
          <w:tcPr>
            <w:tcW w:type="dxa" w:w="90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w:t>
            </w:r>
          </w:p>
        </w:tc>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200.77</w:t>
            </w:r>
          </w:p>
        </w:tc>
      </w:tr>
      <w:tr>
        <w:trPr>
          <w:cantSplit/>
        </w:trPr>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8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0/3</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15515</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2413</w:t>
            </w:r>
          </w:p>
        </w:tc>
        <w:tc>
          <w:tcPr>
            <w:tcW w:type="dxa" w:w="90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w:t>
            </w:r>
          </w:p>
        </w:tc>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238.02</w:t>
            </w:r>
          </w:p>
        </w:tc>
      </w:tr>
      <w:tr>
        <w:trPr>
          <w:cantSplit/>
        </w:trPr>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8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0/3</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15293</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2877</w:t>
            </w:r>
          </w:p>
        </w:tc>
        <w:tc>
          <w:tcPr>
            <w:tcW w:type="dxa" w:w="90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w:t>
            </w:r>
          </w:p>
        </w:tc>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263.05</w:t>
            </w:r>
          </w:p>
        </w:tc>
      </w:tr>
    </w:tbl>
    <w:p>
      <w:pPr>
        <w:spacing w:after="20"/>
      </w:pPr>
    </w:p>
    <w:p>
      <w:pPr>
        <w:jc w:val="both"/>
      </w:pPr>
      <w:r>
        <w:t>Полнота первого ответа проверена отдельно: ни один из девяти ответов не прошёл обязательную сборку C89, то есть 0 из 3 в каждой группе. Диагностика выявила несуществующие имена SDK, попытку подключить справочный Markdown как заголовок, текст пояснений в исходнике и комментарии C99. До исполняемых проверок ACOM эти версии не дошли. Все девять ответов завершены сервером с finish_reason=stop при расходе 2180–3074 выходных токенов и лимите 12 288; принудительного обрезания по этому лимиту не отмечено. Поэтому по первым ответам нельзя утверждать, что один подход уже дал более качественную работающую реализацию. Детали ворот качества сохранены в initial-quality-gates.json.</w:t>
      </w:r>
    </w:p>
    <w:p>
      <w:pPr>
        <w:jc w:val="both"/>
      </w:pPr>
      <w:r>
        <w:t>Попарные различия первых ответов: ТЗ ГОСТ минус обычный длинный промпт. Отрицательное время означает более быстрый ответ ТЗ в данном повторе. Объём выходного кода зависит от ответа модели; одинаковое содержание требований не даёт одинаковую длину реализации.</w:t>
      </w:r>
    </w:p>
    <w:tbl>
      <w:tblPr>
        <w:tblW w:type="auto" w:w="0"/>
        <w:jc w:val="center"/>
        <w:tblLayout w:type="fixed"/>
        <w:tblLook w:firstColumn="1" w:firstRow="1" w:lastColumn="0" w:lastRow="0" w:noHBand="0" w:noVBand="1" w:val="04A0"/>
      </w:tblPr>
      <w:tblGrid>
        <w:gridCol w:w="1191"/>
        <w:gridCol w:w="2608"/>
        <w:gridCol w:w="2608"/>
        <w:gridCol w:w="2948"/>
      </w:tblGrid>
      <w:tr>
        <w:trPr>
          <w:cantSplit/>
          <w:tblHeader/>
        </w:trPr>
        <w:tc>
          <w:tcPr>
            <w:tcW w:type="dxa" w:w="11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left"/>
            </w:pPr>
            <w:r>
              <w:rPr>
                <w:rFonts w:ascii="Times New Roman" w:hAnsi="Times New Roman"/>
                <w:b/>
                <w:color w:val="000000"/>
                <w:sz w:val="21"/>
              </w:rPr>
              <w:t>Seed</w:t>
            </w:r>
          </w:p>
        </w:tc>
        <w:tc>
          <w:tcPr>
            <w:tcW w:type="dxa" w:w="2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Разница входных токенов</w:t>
            </w:r>
          </w:p>
        </w:tc>
        <w:tc>
          <w:tcPr>
            <w:tcW w:type="dxa" w:w="2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Разница выходных токенов</w:t>
            </w:r>
          </w:p>
        </w:tc>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Разница активного времени с</w:t>
            </w:r>
          </w:p>
        </w:tc>
      </w:tr>
      <w:tr>
        <w:trPr>
          <w:cantSplit/>
        </w:trPr>
        <w:tc>
          <w:tcPr>
            <w:tcW w:type="dxa" w:w="11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42</w:t>
            </w:r>
          </w:p>
        </w:tc>
        <w:tc>
          <w:tcPr>
            <w:tcW w:type="dxa" w:w="2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222</w:t>
            </w:r>
          </w:p>
        </w:tc>
        <w:tc>
          <w:tcPr>
            <w:tcW w:type="dxa" w:w="2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18</w:t>
            </w:r>
          </w:p>
        </w:tc>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+2.49</w:t>
            </w:r>
          </w:p>
        </w:tc>
      </w:tr>
      <w:tr>
        <w:trPr>
          <w:cantSplit/>
        </w:trPr>
        <w:tc>
          <w:tcPr>
            <w:tcW w:type="dxa" w:w="11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43</w:t>
            </w:r>
          </w:p>
        </w:tc>
        <w:tc>
          <w:tcPr>
            <w:tcW w:type="dxa" w:w="2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222</w:t>
            </w:r>
          </w:p>
        </w:tc>
        <w:tc>
          <w:tcPr>
            <w:tcW w:type="dxa" w:w="2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-723</w:t>
            </w:r>
          </w:p>
        </w:tc>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-42.60</w:t>
            </w:r>
          </w:p>
        </w:tc>
      </w:tr>
      <w:tr>
        <w:trPr>
          <w:cantSplit/>
        </w:trPr>
        <w:tc>
          <w:tcPr>
            <w:tcW w:type="dxa" w:w="11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44</w:t>
            </w:r>
          </w:p>
        </w:tc>
        <w:tc>
          <w:tcPr>
            <w:tcW w:type="dxa" w:w="2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222</w:t>
            </w:r>
          </w:p>
        </w:tc>
        <w:tc>
          <w:tcPr>
            <w:tcW w:type="dxa" w:w="2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-315</w:t>
            </w:r>
          </w:p>
        </w:tc>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-24.86</w:t>
            </w:r>
          </w:p>
        </w:tc>
      </w:tr>
    </w:tbl>
    <w:p>
      <w:pPr>
        <w:spacing w:after="20"/>
      </w:pPr>
    </w:p>
    <w:tbl>
      <w:tblPr>
        <w:tblW w:type="auto" w:w="0"/>
        <w:jc w:val="center"/>
        <w:tblLayout w:type="fixed"/>
        <w:tblLook w:firstColumn="1" w:firstRow="1" w:lastColumn="0" w:lastRow="0" w:noHBand="0" w:noVBand="1" w:val="04A0"/>
      </w:tblPr>
      <w:tblGrid>
        <w:gridCol w:w="2283"/>
        <w:gridCol w:w="835"/>
        <w:gridCol w:w="1392"/>
        <w:gridCol w:w="1392"/>
        <w:gridCol w:w="947"/>
        <w:gridCol w:w="1169"/>
        <w:gridCol w:w="1336"/>
      </w:tblGrid>
      <w:tr>
        <w:trPr>
          <w:cantSplit/>
          <w:tblHeader/>
        </w:trPr>
        <w:tc>
          <w:tcPr>
            <w:tcW w:type="dxa" w:w="228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left"/>
            </w:pPr>
            <w:r>
              <w:rPr>
                <w:rFonts w:ascii="Times New Roman" w:hAnsi="Times New Roman"/>
                <w:b/>
                <w:color w:val="000000"/>
                <w:sz w:val="21"/>
              </w:rPr>
              <w:t>Вариант</w:t>
            </w:r>
          </w:p>
        </w:tc>
        <w:tc>
          <w:tcPr>
            <w:tcW w:type="dxa" w:w="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Итог</w:t>
            </w:r>
          </w:p>
        </w:tc>
        <w:tc>
          <w:tcPr>
            <w:tcW w:type="dxa" w:w="1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Вход медиана</w:t>
            </w:r>
          </w:p>
        </w:tc>
        <w:tc>
          <w:tcPr>
            <w:tcW w:type="dxa" w:w="1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Выход медиана</w:t>
            </w:r>
          </w:p>
        </w:tc>
        <w:tc>
          <w:tcPr>
            <w:tcW w:type="dxa" w:w="94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API мед.</w:t>
            </w:r>
          </w:p>
        </w:tc>
        <w:tc>
          <w:tcPr>
            <w:tcW w:type="dxa" w:w="1169"/>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Уточн. мед.</w:t>
            </w:r>
          </w:p>
        </w:tc>
        <w:tc>
          <w:tcPr>
            <w:tcW w:type="dxa" w:w="13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Время медиана с</w:t>
            </w:r>
          </w:p>
        </w:tc>
      </w:tr>
      <w:tr>
        <w:trPr>
          <w:cantSplit/>
        </w:trPr>
        <w:tc>
          <w:tcPr>
            <w:tcW w:type="dxa" w:w="228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3/3</w:t>
            </w:r>
          </w:p>
        </w:tc>
        <w:tc>
          <w:tcPr>
            <w:tcW w:type="dxa" w:w="1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167169</w:t>
            </w:r>
          </w:p>
        </w:tc>
        <w:tc>
          <w:tcPr>
            <w:tcW w:type="dxa" w:w="1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70601</w:t>
            </w:r>
          </w:p>
        </w:tc>
        <w:tc>
          <w:tcPr>
            <w:tcW w:type="dxa" w:w="94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15</w:t>
            </w:r>
          </w:p>
        </w:tc>
        <w:tc>
          <w:tcPr>
            <w:tcW w:type="dxa" w:w="1169"/>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14</w:t>
            </w:r>
          </w:p>
        </w:tc>
        <w:tc>
          <w:tcPr>
            <w:tcW w:type="dxa" w:w="13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4947.54</w:t>
            </w:r>
          </w:p>
        </w:tc>
      </w:tr>
      <w:tr>
        <w:trPr>
          <w:cantSplit/>
        </w:trPr>
        <w:tc>
          <w:tcPr>
            <w:tcW w:type="dxa" w:w="228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3/3</w:t>
            </w:r>
          </w:p>
        </w:tc>
        <w:tc>
          <w:tcPr>
            <w:tcW w:type="dxa" w:w="1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207129</w:t>
            </w:r>
          </w:p>
        </w:tc>
        <w:tc>
          <w:tcPr>
            <w:tcW w:type="dxa" w:w="1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56594</w:t>
            </w:r>
          </w:p>
        </w:tc>
        <w:tc>
          <w:tcPr>
            <w:tcW w:type="dxa" w:w="94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15</w:t>
            </w:r>
          </w:p>
        </w:tc>
        <w:tc>
          <w:tcPr>
            <w:tcW w:type="dxa" w:w="1169"/>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14</w:t>
            </w:r>
          </w:p>
        </w:tc>
        <w:tc>
          <w:tcPr>
            <w:tcW w:type="dxa" w:w="13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4581.64</w:t>
            </w:r>
          </w:p>
        </w:tc>
      </w:tr>
      <w:tr>
        <w:trPr>
          <w:cantSplit/>
        </w:trPr>
        <w:tc>
          <w:tcPr>
            <w:tcW w:type="dxa" w:w="228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3/3</w:t>
            </w:r>
          </w:p>
        </w:tc>
        <w:tc>
          <w:tcPr>
            <w:tcW w:type="dxa" w:w="1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208853</w:t>
            </w:r>
          </w:p>
        </w:tc>
        <w:tc>
          <w:tcPr>
            <w:tcW w:type="dxa" w:w="1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66879</w:t>
            </w:r>
          </w:p>
        </w:tc>
        <w:tc>
          <w:tcPr>
            <w:tcW w:type="dxa" w:w="94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16</w:t>
            </w:r>
          </w:p>
        </w:tc>
        <w:tc>
          <w:tcPr>
            <w:tcW w:type="dxa" w:w="1169"/>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15</w:t>
            </w:r>
          </w:p>
        </w:tc>
        <w:tc>
          <w:tcPr>
            <w:tcW w:type="dxa" w:w="13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5277.83</w:t>
            </w:r>
          </w:p>
        </w:tc>
      </w:tr>
    </w:tbl>
    <w:p>
      <w:pPr>
        <w:spacing w:after="20"/>
      </w:pPr>
    </w:p>
    <w:p>
      <w:pPr>
        <w:jc w:val="both"/>
      </w:pPr>
      <w:r>
        <w:t>Медианы полного известного расхода входных и выходных токенов: краткий промпт — ≥ 237721; ТЗ по ГОСТ — 263723; обычный длинный — ≥ 275732. Меньшая медиана времени не означает автоматически меньший расход токенов. Для неполных данных сохранены нижние границы; единый рейтинг по произвольному весу времени и токенов не вводится.</w:t>
      </w:r>
    </w:p>
    <w:p>
      <w:pPr>
        <w:keepNext/>
      </w:pPr>
      <w:r>
        <w:drawing>
          <wp:inline xmlns:a="http://schemas.openxmlformats.org/drawingml/2006/main" xmlns:pic="http://schemas.openxmlformats.org/drawingml/2006/picture">
            <wp:extent cx="5940000" cy="3564000"/>
            <wp:docPr id="2" name="Picture 2" descr="Активное время трёх повторов краткого промпта, ТЗ по ГОСТ и обычного длинного текста. Точные значения приведены в таблицах разделов 5 и 7."/>
            <wp:cNvGraphicFramePr>
              <a:graphicFrameLocks noChangeAspect="1"/>
            </wp:cNvGraphicFramePr>
            <a:graphic>
              <a:graphicData uri="http://schemas.openxmlformats.org/drawingml/2006/picture">
                <pic:pic>
                  <pic:nvPicPr>
                    <pic:cNvPr id="0" name="generation-time.png"/>
                    <pic:cNvPicPr/>
                  </pic:nvPicPr>
                  <pic:blipFill>
                    <a:blip r:embed="rId14"/>
                    <a:stretch>
                      <a:fillRect/>
                    </a:stretch>
                  </pic:blipFill>
                  <pic:spPr>
                    <a:xfrm>
                      <a:off x="0" y="0"/>
                      <a:ext cx="5940000" cy="3564000"/>
                    </a:xfrm>
                    <a:prstGeom prst="rect"/>
                  </pic:spPr>
                </pic:pic>
              </a:graphicData>
            </a:graphic>
          </wp:inline>
        </w:drawing>
      </w:r>
    </w:p>
    <w:p>
      <w:pPr>
        <w:jc w:val="both"/>
      </w:pPr>
      <w:r>
        <w:t>Рисунок 2 Известное активное время трёх вариантов с учётом неудач и продолжений</w:t>
      </w:r>
    </w:p>
    <w:p>
      <w:pPr>
        <w:jc w:val="both"/>
      </w:pPr>
      <w:r>
        <w:t>Наименьшая медиана сохранённого активного времени: техническое задание по ГОСТ. Сравнение относится ко всему пути исправлений. Из-за прерванной сессии полные суммарные расходы обычного длинного варианта неизвестны; приведены сохранённые суммы и их нижние границы. Преимущество по одному показателю нельзя автоматически переносить на другие или считать доказанным эффектом только оформления ГОСТ. Начальное содержание длинных вариантов одинаково, а дальнейшие ответы и уточнения адаптивны.</w:t>
      </w:r>
    </w:p>
    <w:p>
      <w:pPr>
        <w:pStyle w:val="Heading1"/>
      </w:pPr>
      <w:bookmarkStart w:id="8" w:name="arpo_section_8"/>
      <w:r>
        <w:t>8 Измерения готового компонента</w:t>
      </w:r>
      <w:bookmarkEnd w:id="8"/>
    </w:p>
    <w:p>
      <w:pPr>
        <w:jc w:val="both"/>
      </w:pPr>
      <w:r>
        <w:t>Измерения выполнялись после остановки MLX сервера. Доверенный клиент использует clock() и сборку -O2 без UBSan. Арифметика измеряется пакетами по 2 000 000 вызовов четырёх методов; QI(X) и Release — по 500 000 пар. Каждый пакет повторён пять раз. Накопленный результат арифметики проверяется независимо. Ниже медианы по трём независимым реализациям и пяти повторам для каждого профиля.</w:t>
      </w:r>
    </w:p>
    <w:p>
      <w:pPr>
        <w:jc w:val="both"/>
      </w:pPr>
      <w:r>
        <w:t>Прямой маршрут — интерфейсы готового E, который сам агрегирует B и поддерживает X и Y. Lab65 использует A/C и D, а Lab2 передаёт арифметику E. Поэтому таблица сравнивает реальные маршруты, а не изолированный одинаковый набор машинных операций. В частности, прямой QI(X) у E уже проходит его собственное агрегирование.</w:t>
      </w:r>
    </w:p>
    <w:tbl>
      <w:tblPr>
        <w:tblW w:type="auto" w:w="0"/>
        <w:jc w:val="center"/>
        <w:tblLayout w:type="fixed"/>
        <w:tblLook w:firstColumn="1" w:firstRow="1" w:lastColumn="0" w:lastRow="0" w:noHBand="0" w:noVBand="1" w:val="04A0"/>
      </w:tblPr>
      <w:tblGrid>
        <w:gridCol w:w="2154"/>
        <w:gridCol w:w="737"/>
        <w:gridCol w:w="2891"/>
        <w:gridCol w:w="2154"/>
        <w:gridCol w:w="1417"/>
      </w:tblGrid>
      <w:tr>
        <w:trPr>
          <w:cantSplit/>
          <w:tblHeader/>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left"/>
            </w:pPr>
            <w:r>
              <w:rPr>
                <w:rFonts w:ascii="Times New Roman" w:hAnsi="Times New Roman"/>
                <w:b/>
                <w:color w:val="000000"/>
                <w:sz w:val="21"/>
              </w:rPr>
              <w:t>Вариант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A/C</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Маршрут</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Операция</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Медиана нс</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E напрямую</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Арифметика</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0.88</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E напрямую</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QI и Release</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9.19</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Включение Lab65</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Арифметика</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1.05</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Включение Lab65</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QI и Release</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6.32</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Внешний Lab2</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Арифметика</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0.87</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Внешний Lab2</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QI и Release</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3.69</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E напрямую</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Арифметика</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0.96</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E напрямую</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QI и Release</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10.25</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Включение Lab65</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Арифметика</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1.25</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Включение Lab65</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QI и Release</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5.62</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Внешний Lab2</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Арифметика</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0.81</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Внешний Lab2</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QI и Release</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3.44</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E напрямую</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Арифметика</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0.96</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E напрямую</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QI и Release</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11.57</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Включение Lab65</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Арифметика</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0.98</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Включение Lab65</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QI и Release</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5.97</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Внешний Lab2</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Арифметика</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0.86</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Внешний Lab2</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QI и Release</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4.05</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E напрямую</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Арифметика</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0.85</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E напрямую</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QI и Release</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8.13</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Включение Lab65</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Арифметика</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1.12</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Включение Lab65</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QI и Release</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5.04</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Внешний Lab2</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Арифметика</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0.81</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Внешний Lab2</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QI и Release</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3.32</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E напрямую</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Арифметика</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1.01</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E напрямую</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QI и Release</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10.68</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Включение Lab65</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Арифметика</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1.00</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Включение Lab65</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QI и Release</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5.49</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Внешний Lab2</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Арифметика</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0.87</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Внешний Lab2</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QI и Release</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3.80</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E напрямую</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Арифметика</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1.01</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E напрямую</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QI и Release</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10.34</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Включение Lab65</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Арифметика</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1.28</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Включение Lab65</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QI и Release</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5.66</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Внешний Lab2</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Арифметика</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0.85</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Внешний Lab2</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QI и Release</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3.28</w:t>
            </w:r>
          </w:p>
        </w:tc>
      </w:tr>
    </w:tbl>
    <w:p>
      <w:pPr>
        <w:spacing w:after="20"/>
      </w:pPr>
    </w:p>
    <w:p>
      <w:pPr>
        <w:jc w:val="both"/>
      </w:pPr>
      <w:r>
        <w:t>Для арифметики показано время одного вызова в смешанном пакете, для QI — время пары QI и Release. Значения описывают выбранный маленький операнд и конкретный компилятор; это не оценка всех затрат приложения. Публичный Lab2 перенаправляет арифметику E, а агрегирование его Lab65 отдельно проверяется матрицей интерфейсов и сортировкой.</w:t>
      </w:r>
    </w:p>
    <w:p>
      <w:pPr>
        <w:jc w:val="both"/>
      </w:pPr>
      <w:r>
        <w:t>Сортировка double измерена через реальный агрегированный IEcoLab65 объекта Lab2 и сопоставлена с qsort на одинаковых копиях. Использованы равномерное распределение по допустимому диапазону и узкий обратный кластер, B = 128, по пять повторов; порядок двух сортировок чередовался. Ниже два характерных размера, полная таблица находится в CSV.</w:t>
      </w:r>
    </w:p>
    <w:p>
      <w:pPr>
        <w:jc w:val="both"/>
      </w:pPr>
      <w:r>
        <w:t>Входной seed равен 1234567. Для каждого размера массив заново создаётся одинаковым перед каждым повтором. Пять повторов характеризуют вариацию времени на фиксированном наборе данных; это не пять независимых случайных массивов. Создание копий и поэлементная проверка не входят в замер самой сортировки.</w:t>
      </w:r>
    </w:p>
    <w:tbl>
      <w:tblPr>
        <w:tblW w:type="auto" w:w="0"/>
        <w:jc w:val="center"/>
        <w:tblLayout w:type="fixed"/>
        <w:tblLook w:firstColumn="1" w:firstRow="1" w:lastColumn="0" w:lastRow="0" w:noHBand="0" w:noVBand="1" w:val="04A0"/>
      </w:tblPr>
      <w:tblGrid>
        <w:gridCol w:w="1984"/>
        <w:gridCol w:w="680"/>
        <w:gridCol w:w="2324"/>
        <w:gridCol w:w="1020"/>
        <w:gridCol w:w="1644"/>
        <w:gridCol w:w="1701"/>
      </w:tblGrid>
      <w:tr>
        <w:trPr>
          <w:cantSplit/>
          <w:tblHeader/>
        </w:trPr>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left"/>
            </w:pPr>
            <w:r>
              <w:rPr>
                <w:rFonts w:ascii="Times New Roman" w:hAnsi="Times New Roman"/>
                <w:b/>
                <w:color w:val="000000"/>
                <w:sz w:val="21"/>
              </w:rPr>
              <w:t>Вариант</w:t>
            </w:r>
          </w:p>
        </w:tc>
        <w:tc>
          <w:tcPr>
            <w:tcW w:type="dxa" w:w="6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A/C</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Распределение</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n</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Bucket мс</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qsort мс</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6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Равномерное</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50000</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1.819</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3.089</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6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Обратный кластер</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10000</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12.430</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0.126</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6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Равномерное</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50000</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2.834</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4.844</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6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Обратный кластер</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10000</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12.568</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0.152</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6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Равномерное</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50000</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1.807</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3.169</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6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Обратный кластер</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10000</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12.446</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0.133</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6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Равномерное</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50000</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2.776</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4.602</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6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Обратный кластер</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10000</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12.561</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0.139</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6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Равномерное</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50000</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2.532</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4.428</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6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Обратный кластер</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10000</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12.218</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0.125</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6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Равномерное</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50000</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2.788</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4.719</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6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Обратный кластер</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10000</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12.291</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0.126</w:t>
            </w:r>
          </w:p>
        </w:tc>
      </w:tr>
    </w:tbl>
    <w:p>
      <w:pPr>
        <w:spacing w:after="20"/>
      </w:pPr>
    </w:p>
    <w:p>
      <w:pPr>
        <w:jc w:val="both"/>
      </w:pPr>
      <w:r>
        <w:t>Скорость зависит от распределения элементов по блокам. Узкий обратный кластер вызывает много перемещений вставками, что согласуется с квадратичной оценкой. Совпадение результатов с qsort проверено на каждом измеренном массиве. Стандарт C не задаёт конкретный алгоритм реализации qsort, поэтому сравнение основано на фактических замерах этой платформы.</w:t>
      </w:r>
    </w:p>
    <w:p>
      <w:pPr>
        <w:jc w:val="both"/>
      </w:pPr>
      <w:r>
        <w:t>Во всех девяти реализациях файл численного алгоритма один и тот же и сохранён побайтно. Поэтому эти замеры подтверждают интеграцию и характеристики унаследованного Bucket sort. Они не показывают, что один промпт сгенерировал более быстрый алгоритм сортировки: заново генерировалась объектная организация ACOM, а не численные методы.</w:t>
      </w:r>
    </w:p>
    <w:p>
      <w:pPr>
        <w:pStyle w:val="Heading1"/>
      </w:pPr>
      <w:bookmarkStart w:id="9" w:name="arpo_section_9"/>
      <w:r>
        <w:t>9 Выводы и ограничения</w:t>
      </w:r>
      <w:bookmarkEnd w:id="9"/>
    </w:p>
    <w:p>
      <w:pPr>
        <w:jc w:val="both"/>
      </w:pPr>
      <w:r>
        <w:t>Все девять независимых реализаций после учитываемых уточнений прошли проверки и ручную приёмку: по три повтора краткого промпта, ТЗ по ГОСТ и контрольного обычного длинного промпта. Подтверждены включение калькуляторов и настоящее агрегирование компонента первой работы. Медианы известного активного времени доведения: краткого промпта — 82.46 мин; ТЗ по ГОСТ — 76.36 мин; обычного длинного промпта — не менее 87.96 мин. Ни один первый ответ не прошёл сборку. ГОСТ помог структурировать требования, но эта серия не доказывает его самостоятельного преимущества: исправления были адаптивными, выборка мала, часть учёта неполна. Измерения сортировки относятся к неизменному алгоритму первой работы.</w:t>
      </w:r>
    </w:p>
    <w:p>
      <w:pPr>
        <w:jc w:val="both"/>
      </w:pPr>
      <w:r>
        <w:t>Результаты относятся к одной модели, одному ноутбуку, выбранным seed, общему контракту и конечному набору тестов. Три повтора не дают достаточной базы для универсальных статистических выводов. Насыщенный общий контракт уже содержит архитектурные требования короткого варианта. Прохождение тестов и ручной анализ не являются формальным доказательством всех поведений. Не проверяются конкурентность, межпроцессный marshal, динамическая загрузка и глубокие внутренние отказы памяти в старых компонентах поставщика. Деление на ноль и арифметические переполнения за пределами зафиксированной области не оцениваются. Отсутствие MemExt и инвалидация заимствованного GUID менеджера отдельно не инъецировались в динамических тестах; копирование GUID до освобождения интерфейса проверялось по исходникам.</w:t>
      </w:r>
    </w:p>
    <w:p>
      <w:pPr>
        <w:jc w:val="both"/>
      </w:pPr>
      <w:r>
        <w:t>Протокол single-file каждый раз требует полный файл: даже небольшая правка повторно генерирует остальные методы. Модель не могла интерактивно читать дополнительные SDK файлы; в исходный контекст вошла выборка заголовков, а оригинальные примеры B/E и дополнительные пояснения давались в учитываемых уточнениях. Это ограничивает выводы о влиянии одного лишь оформления промпта.</w:t>
      </w:r>
    </w:p>
    <w:p>
      <w:pPr>
        <w:jc w:val="both"/>
      </w:pPr>
      <w:r>
        <w:t>Для сохранённых целочисленных методов блоки охватывают полный диапазон типа: узкий диапазон около нуля может занимать лишь несколько блоков. Производительность double нельзя автоматически переносить на int32_t и int64_t. Понимание ACOM оценивается по наблюдаемому коду и поведению, а не как непосредственно измеренное внутреннее состояние модели.</w:t>
      </w:r>
    </w:p>
    <w:p>
      <w:pPr>
        <w:jc w:val="both"/>
      </w:pPr>
      <w:r>
        <w:t>Порог MLX и фоновая проверка памяти не являются жёстким лимитом всей памяти macOS: контроль выполняется каждые 0,5 с и не ограничивает остальные приложения. Журнал показывает наблюдавшиеся значения, а не доказанный верхний предел потребления между опросами.</w:t>
      </w:r>
    </w:p>
    <w:p>
      <w:pPr>
        <w:jc w:val="both"/>
      </w:pPr>
      <w:r>
        <w:t>Порядок исправлений не был отдельным рандомизированным экспериментом: при последующих продолжениях использовался опыт разбора ранних ответов. Поэтому затраты доведения до приёмки смешивают влияние исходного промпта, конкретных ошибок и развития подсказок организатора; по ним нельзя оценивать чистый эффект ГОСТ. Ручной разбор качества проводился организатором, который знал тип промпта; независимый слепой экспертный рейтинг не выполнялся.</w:t>
      </w:r>
    </w:p>
    <w:p>
      <w:pPr>
        <w:jc w:val="both"/>
      </w:pPr>
      <w:r>
        <w:t>Календарные паузы и продолжения отдельных попыток могли находиться между первыми ответами других запусков; непрерывной изолированной сессии всех первых ответов не было. Исходные промпты и общий seed при этом оставались неизменными. Фоновая нагрузка ноутбука и его тепловое состояние не измерялись отдельно.</w:t>
      </w:r>
    </w:p>
    <w:p>
      <w:pPr>
        <w:jc w:val="both"/>
      </w:pPr>
      <w:r>
        <w:t>Явные динамические сценарии удержания после освобождения первоначального интерфейса используют X: для обычного Lab65, Lab2 и внешнего тестового контроллера агрегата. Общие переходы остальных интерфейсов проверяются матрицами, а корректность их управления временем жизни дополнительно разбирается по исходникам; отдельный сценарий удержания Y после удаления первого интерфейса не объявляется выполненным.</w:t>
      </w:r>
    </w:p>
    <w:p>
      <w:pPr>
        <w:jc w:val="both"/>
      </w:pPr>
      <w:r>
        <w:t>Между продолжениями сервер ещё раз оказался остановлен при отсутствии активного запроса. Health вернул отказ соединения; защита памяти не срабатывала. Сервер перезапущен с теми же весами и пределами, без потери usage уже завершённых ответов. Загрузка после такого перезапуска и состояние кешей могут влиять на время следующего запроса; отдельного контролируемого исследования этого влияния не было.</w:t>
      </w:r>
    </w:p>
    <w:p>
      <w:pPr>
        <w:jc w:val="both"/>
      </w:pPr>
      <w:r>
        <w:t>Сборка, проверки и временные измерения выполнены на macOS arm64 с указанным Eco SDK и Apple clang. Работоспособность Windows, Linux и Intel Mac отдельно не проверялась; наличие C89 исходников само по себе не заменяет такую проверку.</w:t>
      </w:r>
    </w:p>
    <w:p>
      <w:pPr>
        <w:jc w:val="both"/>
      </w:pPr>
      <w:r>
        <w:t>Возможные дальнейшие улучшения — уменьшение дублирования однотипных интерфейсных обёрток, более ясные комментарии о владении и отдельное исследование крупных перегруженных блоков сортировки. Они не объявляются выполненными изменениями измеренных вариантов.</w:t>
      </w:r>
    </w:p>
    <w:p>
      <w:pPr>
        <w:pStyle w:val="Heading1"/>
      </w:pPr>
      <w:bookmarkStart w:id="10" w:name="arpo_section_10"/>
      <w:r>
        <w:t>10 Файлы и воспроизводимость</w:t>
      </w:r>
      <w:bookmarkEnd w:id="10"/>
    </w:p>
    <w:p>
      <w:pPr>
        <w:jc w:val="both"/>
      </w:pPr>
      <w:r>
        <w:t>Исходники предоставлены раздельными архивами короткого, ГОСТ и контрольного обычного длинного вариантов, каждый с тремя повторами. Внутри находятся общий контракт, статические фабрики, неизменные численные методы первой работы, калькуляторы преподавателя, UnitTest, доверенные проверки, промпты и самостоятельный скрипт сборки. Для сборки нужен отдельно полученный Eco SDK и Apple Command Line Tools. Веса модели и окружение солвера в архивы не включены.</w:t>
      </w:r>
    </w:p>
    <w:p>
      <w:pPr>
        <w:jc w:val="both"/>
      </w:pPr>
      <w:r>
        <w:t>Полные run.json, requests.jsonl, events.jsonl, followup и архивы истории находятся в labs/acom-reuse-lab2/runs/experiment-20261020-v2-acom-gost. Недействительная предварительная серия отдельно сохранена в experiment-20261020-acom-gost. Измерения сведены в generation-measurements.csv и CSV производительности. Контрольные суммы и результаты итогового аудита приложены отдельно. Репозиторий с результатами второй работы автоматически не публиковался.</w:t>
      </w:r>
    </w:p>
    <w:p>
      <w:pPr>
        <w:pStyle w:val="Heading1"/>
      </w:pPr>
      <w:r>
        <w:t>Источники</w:t>
      </w:r>
    </w:p>
    <w:p>
      <w:pPr>
        <w:jc w:val="left"/>
      </w:pPr>
      <w:r>
        <w:t xml:space="preserve">1. Задание 2. </w:t>
      </w:r>
      <w:r>
        <w:t>Локальный PDF пользователя, страницы 1–4</w:t>
      </w:r>
    </w:p>
    <w:p>
      <w:pPr>
        <w:jc w:val="left"/>
      </w:pPr>
      <w:r>
        <w:t xml:space="preserve">2. Проектирование Лекция 04. </w:t>
      </w:r>
      <w:r>
        <w:t>Локальный PDF пользователя, включение и агрегирование ACOM</w:t>
      </w:r>
    </w:p>
    <w:p>
      <w:pPr>
        <w:jc w:val="left"/>
      </w:pPr>
      <w:r>
        <w:t xml:space="preserve">3. Учебные калькуляторы Eco Education. </w:t>
      </w:r>
      <w:hyperlink r:id="rId15">
        <w:r>
          <w:rPr>
            <w:color w:val="365D83"/>
            <w:u w:val="single"/>
          </w:rPr>
          <w:t>https://github.com/peerf-eco/Eco.Education/tree/7f1664b0489bcea6d5b211807ea5cb0ce0e1068e/Eco.Pro.Training/001.InsideACOM</w:t>
        </w:r>
      </w:hyperlink>
    </w:p>
    <w:p>
      <w:pPr>
        <w:jc w:val="left"/>
      </w:pPr>
      <w:r>
        <w:t xml:space="preserve">4. Обёртка преподавателя ARPO solver macOS. </w:t>
      </w:r>
      <w:hyperlink r:id="rId16">
        <w:r>
          <w:rPr>
            <w:color w:val="365D83"/>
            <w:u w:val="single"/>
          </w:rPr>
          <w:t>https://github.com/Dezmant8/ARPO_solver_macos/commit/703b25815adfe0c75471a7b9ffb67b3eb980c44c</w:t>
        </w:r>
      </w:hyperlink>
    </w:p>
    <w:p>
      <w:pPr>
        <w:jc w:val="left"/>
      </w:pPr>
      <w:r>
        <w:t xml:space="preserve">5. ГОСТ 19.201 78 карточка Росстандарта. </w:t>
      </w:r>
      <w:hyperlink r:id="rId17">
        <w:r>
          <w:rPr>
            <w:color w:val="365D83"/>
            <w:u w:val="single"/>
          </w:rPr>
          <w:t>https://protect.gost.ru/gost/details/b64061cf-6bb2-4c75-aee9-18bb5e26e554</w:t>
        </w:r>
      </w:hyperlink>
    </w:p>
    <w:p>
      <w:pPr>
        <w:jc w:val="left"/>
      </w:pPr>
      <w:r>
        <w:t xml:space="preserve">6. ГОСТ 19.201 78 текст стандарта. </w:t>
      </w:r>
      <w:hyperlink r:id="rId18">
        <w:r>
          <w:rPr>
            <w:color w:val="365D83"/>
            <w:u w:val="single"/>
          </w:rPr>
          <w:t>https://www.swrit.ru/doc/espd/19.201-78.pdf</w:t>
        </w:r>
      </w:hyperlink>
    </w:p>
    <w:p>
      <w:pPr>
        <w:jc w:val="left"/>
      </w:pPr>
      <w:r>
        <w:t xml:space="preserve">7. Первая лабораторная Bucket sort. </w:t>
      </w:r>
      <w:hyperlink r:id="rId19">
        <w:r>
          <w:rPr>
            <w:color w:val="365D83"/>
            <w:u w:val="single"/>
          </w:rPr>
          <w:t>https://github.com/Dorila24/-software-architecture_lab1_bucket-sort/tree/0c08f541e0f47ac544685b93c43f0e0cdd5b0f71</w:t>
        </w:r>
      </w:hyperlink>
    </w:p>
    <w:p>
      <w:pPr>
        <w:jc w:val="left"/>
      </w:pPr>
      <w:r>
        <w:t xml:space="preserve">8. Карточка выбранной MLX модели сохранённой ревизии. </w:t>
      </w:r>
      <w:hyperlink r:id="rId20">
        <w:r>
          <w:rPr>
            <w:color w:val="365D83"/>
            <w:u w:val="single"/>
          </w:rPr>
          <w:t>https://huggingface.co/mlx-community/Qwen2.5-Coder-14B-Instruct-4bit/tree/29efdbab55a161237ab1e432a3abaf6c7ae2b477</w:t>
        </w:r>
      </w:hyperlink>
    </w:p>
    <w:p>
      <w:pPr>
        <w:pStyle w:val="Heading1"/>
      </w:pPr>
      <w:bookmarkStart w:id="11" w:name="arpo_appendix"/>
      <w:r>
        <w:t>Приложение Тексты исходных промптов</w:t>
      </w:r>
      <w:bookmarkEnd w:id="11"/>
    </w:p>
    <w:p>
      <w:pPr>
        <w:pStyle w:val="Heading2"/>
      </w:pPr>
      <w:r>
        <w:t>Короткий промпт</w:t>
      </w:r>
    </w:p>
    <w:p>
      <w:pPr>
        <w:jc w:val="both"/>
      </w:pPr>
      <w:r>
        <w:t>Выполни вторую лабораторную: добавь включение калькуляторов и агрегирование к Bucket sort первой работы и создай Eco.Lab2 по фиксированному ReuseContract.h. Реализуй оба объекта в одном полном SourceFiles/Reuse.c на ANSI C89, следуй CODING_STYLE.md. Соблюдай публичный ABI, правила ACOM и запрет libc. Численные методы первой работы и другие предоставленные файлы не меняй. Верни один полный блок C кода.</w:t>
      </w:r>
    </w:p>
    <w:p>
      <w:pPr>
        <w:pStyle w:val="Heading2"/>
      </w:pPr>
      <w:r>
        <w:t>Техническое задание по ГОСТ</w:t>
      </w:r>
    </w:p>
    <w:p>
      <w:pPr>
        <w:jc w:val="both"/>
      </w:pPr>
      <w:r>
        <w:t>Техническое задание по структуре ГОСТ 19.201-78</w:t>
      </w:r>
    </w:p>
    <w:p>
      <w:pPr>
        <w:keepNext/>
        <w:spacing w:before="160" w:after="80"/>
        <w:jc w:val="left"/>
      </w:pPr>
      <w:r>
        <w:rPr>
          <w:b/>
        </w:rPr>
        <w:t>1 Введение</w:t>
      </w:r>
    </w:p>
    <w:p>
      <w:pPr>
        <w:jc w:val="both"/>
      </w:pPr>
      <w:r>
        <w:t>Разработать расширение компонента Bucket sort первой лабораторной и новый внешний компонент Eco.Lab2. Название работы — Включение и агрегирование ACOM. Реализуется статическая библиотека ANSI C89 для macOS Apple Silicon. Прежний BucketMethods.c переиспользуется побайтно, его пять численных методов и опубликованный IEcoLab65 сохраняются. Новая измеряемая работа — оба объекта, поддержка интерфейсов, управление ссылками, создание, включение калькуляторов и агрегирование. Реализацию вернуть одним полным файлом SourceFiles/Reuse.c с #include "ReuseContract.h"; другие файлы не изменять.</w:t>
      </w:r>
    </w:p>
    <w:p>
      <w:pPr>
        <w:keepNext/>
        <w:spacing w:before="160" w:after="80"/>
        <w:jc w:val="left"/>
      </w:pPr>
      <w:r>
        <w:rPr>
          <w:b/>
        </w:rPr>
        <w:t>2 Основания для разработки</w:t>
      </w:r>
    </w:p>
    <w:p>
      <w:pPr>
        <w:jc w:val="both"/>
      </w:pPr>
      <w:r>
        <w:t>Основание — предоставленное задание 2 и лекция 04 по проектированию архитектуры программных систем, полученные 20.10.2026. Требования преобразованы организатором в ReuseContract.h; PDF модели не передаются. Автор лабораторной Фирсова Валерия Дмитриевна, группа 24ТИДИ. Разработка выполняется как учебная лабораторная. Исходники калькуляторов взяты из Eco.Education, 001.InsideACOM, уроки 02,03,05,06,07. Они и результат первой работы являются готовыми внешними зависимостями; их повторную генерацию не требуется измерять.</w:t>
      </w:r>
    </w:p>
    <w:p>
      <w:pPr>
        <w:keepNext/>
        <w:spacing w:before="160" w:after="80"/>
        <w:jc w:val="left"/>
      </w:pPr>
      <w:r>
        <w:rPr>
          <w:b/>
        </w:rPr>
        <w:t>3 Назначение разработки</w:t>
      </w:r>
    </w:p>
    <w:p>
      <w:pPr>
        <w:jc w:val="both"/>
      </w:pPr>
      <w:r>
        <w:t>Показать повторное использование реализации без наследования реализации и без копирования арифметики калькуляторов в свой объект. Клиент должен через реальную IEcoInterfaceBus1 создать Lab65 и Lab2 и получить любой поддерживаемый публичный интерфейс из любого другого. Общие статические фабрики, IID/CID, ABI и демонстрационный клиент уже предоставлены; код обоих объектов, lifetime и composition должна написать модель. Не считайте арифметически правильную заглушку доказательством включения или агрегирования.</w:t>
      </w:r>
    </w:p>
    <w:p>
      <w:pPr>
        <w:keepNext/>
        <w:spacing w:before="160" w:after="80"/>
        <w:jc w:val="left"/>
      </w:pPr>
      <w:r>
        <w:rPr>
          <w:b/>
        </w:rPr>
        <w:t>4 Требования к программе</w:t>
      </w:r>
    </w:p>
    <w:p>
      <w:pPr>
        <w:jc w:val="both"/>
      </w:pPr>
      <w:r>
        <w:t>Реализовать createEcoLab65(system,outer,iid,out), createEcoLab2(system,outer,iid,out) и lab_allocator(IEcoLab65*) с буквальными сигнатурами ReuseContract.h. Статические фабрики вызывают эти функции и уже поставлены; не меняйте их. Публичный IEcoLab65 имеет ровно прежние пять методов сортировки, IEcoLab2 имеет GetVersion с результатом 2. Дополнительных публичных методов и новых IID не добавлять.</w:t>
      </w:r>
    </w:p>
    <w:p>
      <w:pPr>
        <w:keepNext/>
        <w:spacing w:before="160" w:after="80"/>
        <w:jc w:val="left"/>
      </w:pPr>
      <w:r>
        <w:rPr>
          <w:b/>
        </w:rPr>
        <w:t>4.1 Функциональные характеристики</w:t>
      </w:r>
    </w:p>
    <w:p>
      <w:pPr>
        <w:jc w:val="both"/>
      </w:pPr>
      <w:r>
        <w:t>Lab65 включает IEcoCalculatorX компонента A и IEcoCalculatorY компонента D. Его публичные X/Y — собственные обёртки, действительно передающие вызовы соответствующему внутреннему интерфейсу. В профиле C вместо A по тому же опубликованному CID создаётся оригинальный C. D сам включает B. Lab2 включает Y компонента E и агрегирует Lab65. Его X/Y — собственные обёртки для X/Y экземпляра E; E сам агрегирует B. Публичный IEcoLab65 у Lab2 отдаётся непосредственно из агрегированного Lab65, без собственной повторной реализации численных методов. Все внутренние объекты получать через QueryComponent. Итого профили A и C вместе демонстрируют реальные A,B,C,D,E и компонент первой лабораторной.</w:t>
      </w:r>
    </w:p>
    <w:p>
      <w:pPr>
        <w:keepNext/>
        <w:spacing w:before="160" w:after="80"/>
        <w:jc w:val="left"/>
      </w:pPr>
      <w:r>
        <w:rPr>
          <w:b/>
        </w:rPr>
        <w:t>4.1.1 Алгоритм создания и агрегирования</w:t>
      </w:r>
    </w:p>
    <w:p>
      <w:pPr>
        <w:jc w:val="both"/>
      </w:pPr>
      <w:r>
        <w:t>Для каждого объекта храните собственное состояние с явными таблицами интерфейсов и счётчиком локальных ссылок. Получайте IEcoSystem1 и шину через QueryInterface, аллокатор через QueryComponent. Идентификатор менеджера из необязательного IEcoInterfaceBus1MemExt скопируйте по значению до Release extension; при ERR_ECO_NOINTERFACE используйте CID_EcoMemoryManager1. Заполняйте поля после успешного Alloc, явно обнуляйте внутренние указатели и создавайте зависимости до публикации объекта. Не приводите несвязанный system/unknown к другому интерфейсу вместо QI. Все acquired references имеют отдельного владельца и cleanup.</w:t>
      </w:r>
    </w:p>
    <w:p>
      <w:pPr>
        <w:keepNext/>
        <w:spacing w:before="160" w:after="80"/>
        <w:jc w:val="left"/>
      </w:pPr>
      <w:r>
        <w:rPr>
          <w:b/>
        </w:rPr>
        <w:t>4.1.2 Делегирующий и неделегирующий unknown</w:t>
      </w:r>
    </w:p>
    <w:p>
      <w:pPr>
        <w:jc w:val="both"/>
      </w:pPr>
      <w:r>
        <w:t>Lab65 должен иметь отдельный приватный неделегирующий IEcoUnknown с собственным QI/AddRef/Release и публичные Lab65,X,Y, чьи QI/AddRef/Release всегда обращаются к controlling unknown. При outer=0 controlling unknown равен собственному неделегирующему unknown; при outer!=0 равен outer без AddRef outer, иначе возникнет цикл. Создание Lab65 с outer допускается только при IID_IEcoUnknown; вернуть именно приватный unknown с одной локальной ссылкой. Неделегирующий QI для публичного интерфейса вызывает его делегирующий AddRef, а для приватного unknown увеличивает локальный счётчик. Lab2 не поддерживает внешнее агрегирование и отклоняет любой outer. При агрегировании Lab65 он передаёт собственный canonical unknown и IID_IEcoUnknown, хранит только приватный unknown внутреннего объекта. В QI(Lab65) вызывает этот приватный QI и отдаёт полученный публичный интерфейс. Не храните постоянную делегирующую публичную ссылку на собственного агрегата: она увеличит счётчик внешнего объекта и создаст цикл.</w:t>
      </w:r>
    </w:p>
    <w:p>
      <w:pPr>
        <w:keepNext/>
        <w:spacing w:before="160" w:after="80"/>
        <w:jc w:val="left"/>
      </w:pPr>
      <w:r>
        <w:rPr>
          <w:b/>
        </w:rPr>
        <w:t>4.1.3 Арифметика и сортировка</w:t>
      </w:r>
    </w:p>
    <w:p>
      <w:pPr>
        <w:jc w:val="both"/>
      </w:pPr>
      <w:r>
        <w:t>Вызовы Addition/Subtraction/Multiplication/Division должны фактически доходить до выбранного внутреннего компонента; тесты подменяют его арифметические слоты на отличимые результаты. Самостоятельно вычислять a+b и подобные операции вместо делегирования запрещено. В тестовой области a,b от -100 до 100, делитель ненулевой; результаты вычитания и деления укладываются в int16_t, сложения и умножения — int32_t согласно реальному ABI. Сортировка работает через неизменные lab_sort_int/long/float/double/long_double и lab_allocator: использует прежние типы и контракт ошибок. Операции не должны изменять исходные значения или заменять распределительную сортировку.</w:t>
      </w:r>
    </w:p>
    <w:p>
      <w:pPr>
        <w:keepNext/>
        <w:spacing w:before="160" w:after="80"/>
        <w:jc w:val="left"/>
      </w:pPr>
      <w:r>
        <w:rPr>
          <w:b/>
        </w:rPr>
        <w:t>4.2 Надёжность</w:t>
      </w:r>
    </w:p>
    <w:p>
      <w:pPr>
        <w:jc w:val="both"/>
      </w:pPr>
      <w:r>
        <w:t>Каждый успешный QI выдаёт ровно одну владеющую ссылку. Из всех публичных интерфейсов одного экземпляра QI(Unknown) возвращает один и тот же адрес; поддерживаемый набор статичен, переходы рефлексивны, симметричны, транзитивны. При неподдерживаемом IID, null iid или неверных аргументах очистите *out до возврата ошибки. Ошибка создания не публикует частичный объект. Освобождение начального интерфейса не уничтожает объект, пока клиент держит другой интерфейс. После последнего Release освобождаются все owned inner interfaces, приватный unknown агрегата, память и системные ссылки. Сначала Free(object) через сохранённый allocator, затем Release allocator. На любой ошибке — полный cleanup успешно полученных зависимостей. Не освобождайте borrowed outer и не делайте AddRef outer при его сохранении.</w:t>
      </w:r>
    </w:p>
    <w:p>
      <w:pPr>
        <w:keepNext/>
        <w:spacing w:before="160" w:after="80"/>
        <w:jc w:val="left"/>
      </w:pPr>
      <w:r>
        <w:rPr>
          <w:b/>
        </w:rPr>
        <w:t>4.3 Условия эксплуатации</w:t>
      </w:r>
    </w:p>
    <w:p>
      <w:pPr>
        <w:jc w:val="both"/>
      </w:pPr>
      <w:r>
        <w:t>Однопоточный консольный процесс macOS Apple Silicon. Конкурентное использование и marshal между процессами вне объёма. Пользователь умеет собрать статический компонент через штатный clang и отдельно полученный Eco SDK. Сеть при выполнении компонента не нужна; PDF, Git и модель не являются runtime-зависимостями реализации.</w:t>
      </w:r>
    </w:p>
    <w:p>
      <w:pPr>
        <w:keepNext/>
        <w:spacing w:before="160" w:after="80"/>
        <w:jc w:val="left"/>
      </w:pPr>
      <w:r>
        <w:rPr>
          <w:b/>
        </w:rPr>
        <w:t>4.4 Технические средства</w:t>
      </w:r>
    </w:p>
    <w:p>
      <w:pPr>
        <w:jc w:val="both"/>
      </w:pPr>
      <w:r>
        <w:t>Разработка и измерения локальной модели выполняются на Apple M4 Pro с 24 GiB RAM. Компонент использует только Eco SDK, на платформе long 64-битный, long double эквивалентен double. Для объекта и временной памяти используйте IEcoMemoryAllocator1. Не фиксируйте адреса, размеры конкретных объектов или пути ноутбука в исходнике.</w:t>
      </w:r>
    </w:p>
    <w:p>
      <w:pPr>
        <w:keepNext/>
        <w:spacing w:before="160" w:after="80"/>
        <w:jc w:val="left"/>
      </w:pPr>
      <w:r>
        <w:rPr>
          <w:b/>
        </w:rPr>
        <w:t>4.5 Совместимость</w:t>
      </w:r>
    </w:p>
    <w:p>
      <w:pPr>
        <w:jc w:val="both"/>
      </w:pPr>
      <w:r>
        <w:t>Строгий ANSI C89: объявления в начале блока, нет //, inline, C99-конструкций и ULL литералов. Использовать ECOCALLMETHOD и реальные SDK ошибки/типы, буквальные IID/CID, порядок слотов и сигнатуры. Не включать стандартные заголовки, не вызывать libc, math.h, сторонние функции или стандартный allocator в компоненте. Вычисляйте адрес владельца дополнительного интерфейса через байтовое смещение внутри собственного объекта; не путайте приватный unknown с первым интерфейсом. A и C намеренно имеют одинаковый CID в учебном комплекте; профили их разделяют. C/D имеют дефект canonical Unknown через собственный Y: их интерфейсы остаются приватными за обёртками, наружу их raw Y не выдавать. Публичные интерфейсы нашей лабораторной должны полностью удовлетворять identity и lifetime независимо от этих дефектов поставщика.</w:t>
      </w:r>
    </w:p>
    <w:p>
      <w:pPr>
        <w:keepNext/>
        <w:spacing w:before="160" w:after="80"/>
        <w:jc w:val="left"/>
      </w:pPr>
      <w:r>
        <w:rPr>
          <w:b/>
        </w:rPr>
        <w:t>4.6 Маркировка и упаковка</w:t>
      </w:r>
    </w:p>
    <w:p>
      <w:pPr>
        <w:jc w:val="both"/>
      </w:pPr>
      <w:r>
        <w:t>Один полный файл SourceFiles/Reuse.c, с понятными именами, небольшими функциями и комментариями о владении и инвариантах. Следовать общему CODING_STYLE.md. Не подменять файл фрагментами, многоточиями или инструкциями вставить код. Существующие контракт, фабрики, SDK, Vendor, численные методы и независимые проверки не менять.</w:t>
      </w:r>
    </w:p>
    <w:p>
      <w:pPr>
        <w:keepNext/>
        <w:spacing w:before="160" w:after="80"/>
        <w:jc w:val="left"/>
      </w:pPr>
      <w:r>
        <w:rPr>
          <w:b/>
        </w:rPr>
        <w:t>4.7 Транспортирование и хранение</w:t>
      </w:r>
    </w:p>
    <w:p>
      <w:pPr>
        <w:jc w:val="both"/>
      </w:pPr>
      <w:r>
        <w:t>Артефакты сохраняются как UTF-8 исходники и статическая сборка. Локальные пути SDK и модели в исходники не встраиваются. SDK и веса не распространяются в публичном архиве. Сохранность контрольных сумм общих зависимостей проверяется организатором.</w:t>
      </w:r>
    </w:p>
    <w:p>
      <w:pPr>
        <w:keepNext/>
        <w:spacing w:before="160" w:after="80"/>
        <w:jc w:val="left"/>
      </w:pPr>
      <w:r>
        <w:rPr>
          <w:b/>
        </w:rPr>
        <w:t>4.8 Специальные требования</w:t>
      </w:r>
    </w:p>
    <w:p>
      <w:pPr>
        <w:jc w:val="both"/>
      </w:pPr>
      <w:r>
        <w:t>Успех определяется независимыми сборкой, проверками жизненного цикла, матрицами переходов, настоящей регистрацией и замерами, а не текстом ответа. Не предоставлять собственный main: вход EcoMain и стандартную точку входа поставляет Eco.System1. Общий каркас не содержит решения включения/агрегирования; его необходимо завершить. Ответ должен содержать только один полный блок C кода для Reuse.c.</w:t>
      </w:r>
    </w:p>
    <w:p>
      <w:pPr>
        <w:keepNext/>
        <w:spacing w:before="160" w:after="80"/>
        <w:jc w:val="left"/>
      </w:pPr>
      <w:r>
        <w:rPr>
          <w:b/>
        </w:rPr>
        <w:t>5 Требования к программной документации</w:t>
      </w:r>
    </w:p>
    <w:p>
      <w:pPr>
        <w:jc w:val="both"/>
      </w:pPr>
      <w:r>
        <w:t>В исходнике поясните структуру двух объектов, различие containment/aggregation, владение внутренними ссылками и освобождение ресурсов. Word-отчёты и графики пишет организатор по реальным результатам, локальная модель их не пишет. Не утверждайте, что проверки были выполнены вами, если нет их результатов от обёртки.</w:t>
      </w:r>
    </w:p>
    <w:p>
      <w:pPr>
        <w:keepNext/>
        <w:spacing w:before="160" w:after="80"/>
        <w:jc w:val="left"/>
      </w:pPr>
      <w:r>
        <w:rPr>
          <w:b/>
        </w:rPr>
        <w:t>6 Технико экономические показатели</w:t>
      </w:r>
    </w:p>
    <w:p>
      <w:pPr>
        <w:jc w:val="both"/>
      </w:pPr>
      <w:r>
        <w:t>Обёртка измеряет все HTTP, токены usage, активное время и уточнения, включая неудачи. Локальный тариф 0 USD не равен нулевому потреблению энергии или стоимости компьютера. Нельзя объявлять конкретную скорость, полноту или выигрыш без независимого измерения. Дополнительная память объекта постоянна относительно числа сортируемых элементов; прежняя сортировка сохраняет собственную O(n+B) временную память.</w:t>
      </w:r>
    </w:p>
    <w:p>
      <w:pPr>
        <w:keepNext/>
        <w:spacing w:before="160" w:after="80"/>
        <w:jc w:val="left"/>
      </w:pPr>
      <w:r>
        <w:rPr>
          <w:b/>
        </w:rPr>
        <w:t>7 Стадии и этапы разработки</w:t>
      </w:r>
    </w:p>
    <w:p>
      <w:pPr>
        <w:jc w:val="both"/>
      </w:pPr>
      <w:r>
        <w:t>Последовательно спроектировать состояние объектов, реализовать QI и lifetime, создание с cleanup, включение и агрегирование, соединить прежние методы сортировки, затем исправлять фактическую диагностику независимых проверок в том же запуске. Все полные ответы, неудачи и уточнения сохраняются. Перезапуск с чистой историей вместо учёта неудач недопустим.</w:t>
      </w:r>
    </w:p>
    <w:p>
      <w:pPr>
        <w:keepNext/>
        <w:spacing w:before="160" w:after="80"/>
        <w:jc w:val="left"/>
      </w:pPr>
      <w:r>
        <w:rPr>
          <w:b/>
        </w:rPr>
        <w:t>8 Порядок контроля и приёмки</w:t>
      </w:r>
    </w:p>
    <w:p>
      <w:pPr>
        <w:jc w:val="both"/>
      </w:pPr>
      <w:r>
        <w:t>Одинаковые независимые проверки для всех веток: два реальных registry профиля A/C; матрицы Unknown/Lab65/X/Y и дополнительно Lab2; canonical identity; повторяемость, отказы и очистка out; управление ссылками и жизнь при освобождении начального интерфейса; внешний тестовый controller для агрегированного Lab65; доказательство передачи вызовов настоящим калькуляторам; проверка четырёх операций и пяти численных типов против независимого эталона; ошибки приобретения прямых зависимостей и первого Alloc; полное освобождение. Проверяется C89 и отсутствие libc, UBSan и неизменность общих файлов. Полный набор тестов вне workspace модели; она получает только диагностику. Сдаётся работа, у которой все запуски прошли эти проверки и ручной анализ архитектуры, а не только арифметические примеры.</w:t>
      </w:r>
    </w:p>
    <w:p>
      <w:pPr>
        <w:jc w:val="both"/>
      </w:pPr>
      <w:r>
        <w:t>Полный контрольный обычный длинный текст сохранён в ordinary-long.txt и в каждом архиве исходников. Он повторяет те же 19 содержательных абзацев без заголовков ГОСТ; повторная печать одинакового текста в этом отчёте опущена. Проверка эквивалентности и контрольные суммы сохранены в prompt-equivalence-v2.json.</w:t>
      </w:r>
    </w:p>
    <w:sectPr w:rsidR="00FC693F" w:rsidRPr="0006063C" w:rsidSect="00034616">
      <w:headerReference w:type="default" r:id="rId9"/>
      <w:headerReference w:type="even" r:id="rId10"/>
      <w:headerReference w:type="first" r:id="rId11"/>
      <w:footerReference w:type="default" r:id="rId12"/>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eastAsia="Times New Roman" w:cs="Times New Roman"/>
      <w:color w:val="000000"/>
      <w:sz w:val="24"/>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240" w:after="140"/>
      <w:outlineLvl w:val="0"/>
    </w:pPr>
    <w:rPr>
      <w:rFonts w:cstheme="majorBidi"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Times New Roman" w:hAnsi="Times New Roman" w:eastAsia="Times New Roman" w:cs="Times New Roman"/>
    </w:rPr>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140" w:line="240" w:lineRule="auto" w:before="240"/>
      <w:contextualSpacing/>
    </w:pPr>
    <w:rPr>
      <w:rFonts w:cstheme="majorBidi" w:ascii="Times New Roman" w:hAnsi="Times New Roman" w:eastAsia="Times New Roman" w:cs="Times New Roman"/>
      <w:color w:val="000000"/>
      <w:spacing w:val="5"/>
      <w:kern w:val="28"/>
      <w:sz w:val="38"/>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40"/>
    </w:pPr>
    <w:rPr>
      <w:rFonts w:cstheme="majorBidi" w:ascii="Times New Roman" w:hAnsi="Times New Roman" w:eastAsia="Times New Roman" w:cs="Times New Roman"/>
      <w:i/>
      <w:iCs/>
      <w:color w:val="000000"/>
      <w:spacing w:val="15"/>
      <w:sz w:val="28"/>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yperlink" Target="https://github.com/peerf-eco/Eco.Education/tree/7f1664b0489bcea6d5b211807ea5cb0ce0e1068e/Eco.Pro.Training/001.InsideACOM" TargetMode="External"/><Relationship Id="rId16" Type="http://schemas.openxmlformats.org/officeDocument/2006/relationships/hyperlink" Target="https://github.com/Dezmant8/ARPO_solver_macos/commit/703b25815adfe0c75471a7b9ffb67b3eb980c44c" TargetMode="External"/><Relationship Id="rId17" Type="http://schemas.openxmlformats.org/officeDocument/2006/relationships/hyperlink" Target="https://protect.gost.ru/gost/details/b64061cf-6bb2-4c75-aee9-18bb5e26e554" TargetMode="External"/><Relationship Id="rId18" Type="http://schemas.openxmlformats.org/officeDocument/2006/relationships/hyperlink" Target="https://www.swrit.ru/doc/espd/19.201-78.pdf" TargetMode="External"/><Relationship Id="rId19" Type="http://schemas.openxmlformats.org/officeDocument/2006/relationships/hyperlink" Target="https://github.com/Dorila24/-software-architecture_lab1_bucket-sort/tree/0c08f541e0f47ac544685b93c43f0e0cdd5b0f71" TargetMode="External"/><Relationship Id="rId20" Type="http://schemas.openxmlformats.org/officeDocument/2006/relationships/hyperlink" Target="https://huggingface.co/mlx-community/Qwen2.5-Coder-14B-Instruct-4bit/tree/29efdbab55a161237ab1e432a3abaf6c7ae2b4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Включение и агрегирование компонентов ACOM — Сравнительный отчёт</dc:title>
  <dc:subject>ACOM containment and aggregation; local Qwen prompt study</dc:subject>
  <dc:creator>Фирсова Валерия Дмитриевна</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