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i w:val="1"/>
          <w:color w:val="333333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To be provided separately as a word doc for students to include with every submission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i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33333"/>
                <w:rtl w:val="0"/>
              </w:rPr>
              <w:t xml:space="preserve">Advanced Data Analytics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33333"/>
                <w:rtl w:val="0"/>
              </w:rPr>
              <w:t xml:space="preserve">Big Data Storage and Processing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33333"/>
                <w:rtl w:val="0"/>
              </w:rPr>
              <w:t xml:space="preserve">MSC_DA_BD_ADAv4 Repeat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Muhammed Iqbal, David McQuad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Dorin Buzilov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sba20274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03/08/2024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02/08/2024</w:t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b w:val="1"/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