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48" w:rsidRDefault="00487F48"/>
    <w:p w:rsidR="00487F48" w:rsidRDefault="00D43F29">
      <w:r>
        <w:t>Asante Akim Central BAC turnover-Ashanti Region.</w:t>
      </w:r>
      <w:bookmarkStart w:id="0" w:name="_GoBack"/>
      <w:bookmarkEnd w:id="0"/>
    </w:p>
    <w:p w:rsidR="00487F48" w:rsidRDefault="00487F48"/>
    <w:tbl>
      <w:tblPr>
        <w:tblW w:w="9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8"/>
        <w:gridCol w:w="3427"/>
      </w:tblGrid>
      <w:tr w:rsidR="00487F48">
        <w:trPr>
          <w:trHeight w:val="622"/>
        </w:trPr>
        <w:tc>
          <w:tcPr>
            <w:tcW w:w="6328" w:type="dxa"/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487F48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 Light" w:hAnsi="Arial" w:cs="Arial"/>
                <w:b/>
                <w:bCs/>
                <w:kern w:val="2"/>
                <w:sz w:val="18"/>
                <w:szCs w:val="18"/>
                <w:lang w:val="en-GB"/>
                <w14:ligatures w14:val="standardContextual"/>
              </w:rPr>
              <w:t>Indicator</w:t>
            </w:r>
          </w:p>
        </w:tc>
        <w:tc>
          <w:tcPr>
            <w:tcW w:w="3427" w:type="dxa"/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487F48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 Light" w:hAnsi="Arial" w:cs="Arial"/>
                <w:b/>
                <w:bCs/>
                <w:kern w:val="2"/>
                <w:sz w:val="18"/>
                <w:szCs w:val="18"/>
                <w:lang w:val="en-GB"/>
                <w14:ligatures w14:val="standardContextual"/>
              </w:rPr>
              <w:t xml:space="preserve">Number/ Amount </w:t>
            </w:r>
          </w:p>
        </w:tc>
      </w:tr>
      <w:tr w:rsidR="00487F48">
        <w:trPr>
          <w:trHeight w:val="587"/>
        </w:trPr>
        <w:tc>
          <w:tcPr>
            <w:tcW w:w="6328" w:type="dxa"/>
            <w:tcMar>
              <w:left w:w="108" w:type="dxa"/>
              <w:right w:w="108" w:type="dxa"/>
            </w:tcMar>
            <w:vAlign w:val="center"/>
          </w:tcPr>
          <w:p w:rsidR="00487F48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 Light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Turnover of BAC/BRC (GHc) per year</w:t>
            </w:r>
            <w:r>
              <w:rPr>
                <w:rFonts w:eastAsia="Calibri Light" w:hAnsi="Arial" w:cs="Arial"/>
                <w:kern w:val="2"/>
                <w:sz w:val="18"/>
                <w:szCs w:val="18"/>
                <w14:ligatures w14:val="standardContextual"/>
              </w:rPr>
              <w:t>(2020-2024)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487F48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eastAsia="Calibri" w:hAnsi="Arial" w:cs="Arial"/>
                <w:kern w:val="2"/>
                <w:sz w:val="18"/>
                <w:szCs w:val="18"/>
                <w14:ligatures w14:val="standardContextual"/>
              </w:rPr>
              <w:t>GHC 127,440</w:t>
            </w:r>
          </w:p>
        </w:tc>
      </w:tr>
      <w:tr w:rsidR="00D43F29">
        <w:trPr>
          <w:trHeight w:val="587"/>
        </w:trPr>
        <w:tc>
          <w:tcPr>
            <w:tcW w:w="6328" w:type="dxa"/>
            <w:tcMar>
              <w:left w:w="108" w:type="dxa"/>
              <w:right w:w="108" w:type="dxa"/>
            </w:tcMar>
            <w:vAlign w:val="center"/>
          </w:tcPr>
          <w:p w:rsidR="00D43F29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2020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D43F29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21, 040</w:t>
            </w:r>
          </w:p>
        </w:tc>
      </w:tr>
      <w:tr w:rsidR="00D43F29">
        <w:trPr>
          <w:trHeight w:val="587"/>
        </w:trPr>
        <w:tc>
          <w:tcPr>
            <w:tcW w:w="6328" w:type="dxa"/>
            <w:tcMar>
              <w:left w:w="108" w:type="dxa"/>
              <w:right w:w="108" w:type="dxa"/>
            </w:tcMar>
            <w:vAlign w:val="center"/>
          </w:tcPr>
          <w:p w:rsidR="00D43F29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2021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D43F29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Received no fund</w:t>
            </w:r>
          </w:p>
        </w:tc>
      </w:tr>
      <w:tr w:rsidR="00D43F29">
        <w:trPr>
          <w:trHeight w:val="587"/>
        </w:trPr>
        <w:tc>
          <w:tcPr>
            <w:tcW w:w="6328" w:type="dxa"/>
            <w:tcMar>
              <w:left w:w="108" w:type="dxa"/>
              <w:right w:w="108" w:type="dxa"/>
            </w:tcMar>
            <w:vAlign w:val="center"/>
          </w:tcPr>
          <w:p w:rsidR="00D43F29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2022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D43F29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 xml:space="preserve"> Received no fund</w:t>
            </w:r>
          </w:p>
        </w:tc>
      </w:tr>
      <w:tr w:rsidR="00D43F29">
        <w:trPr>
          <w:trHeight w:val="587"/>
        </w:trPr>
        <w:tc>
          <w:tcPr>
            <w:tcW w:w="6328" w:type="dxa"/>
            <w:tcMar>
              <w:left w:w="108" w:type="dxa"/>
              <w:right w:w="108" w:type="dxa"/>
            </w:tcMar>
            <w:vAlign w:val="center"/>
          </w:tcPr>
          <w:p w:rsidR="00D43F29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2023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D43F29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Received no fund</w:t>
            </w:r>
          </w:p>
        </w:tc>
      </w:tr>
      <w:tr w:rsidR="00487F48">
        <w:trPr>
          <w:trHeight w:val="587"/>
        </w:trPr>
        <w:tc>
          <w:tcPr>
            <w:tcW w:w="6328" w:type="dxa"/>
            <w:tcMar>
              <w:left w:w="108" w:type="dxa"/>
              <w:right w:w="108" w:type="dxa"/>
            </w:tcMar>
            <w:vAlign w:val="center"/>
          </w:tcPr>
          <w:p w:rsidR="00487F48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2024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487F48" w:rsidRDefault="00D43F29">
            <w:pPr>
              <w:spacing w:after="0" w:line="278" w:lineRule="auto"/>
              <w:jc w:val="both"/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</w:pPr>
            <w:r>
              <w:rPr>
                <w:rFonts w:ascii="Arial" w:eastAsia="Calibri" w:hAnsi="Arial" w:cs="Arial"/>
                <w:kern w:val="2"/>
                <w:sz w:val="18"/>
                <w:szCs w:val="18"/>
                <w:lang w:val="en-GB"/>
                <w14:ligatures w14:val="standardContextual"/>
              </w:rPr>
              <w:t>106, 400</w:t>
            </w:r>
          </w:p>
        </w:tc>
      </w:tr>
    </w:tbl>
    <w:p w:rsidR="00D43F29" w:rsidRDefault="00D43F29" w:rsidP="00D43F29"/>
    <w:p w:rsidR="00487F48" w:rsidRDefault="00487F48" w:rsidP="00D43F29"/>
    <w:sectPr w:rsidR="0048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48"/>
    <w:rsid w:val="00487F48"/>
    <w:rsid w:val="00D4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F830"/>
  <w15:docId w15:val="{F80F8668-37FB-401D-B6AF-C6190B7F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207</Characters>
  <Application>Microsoft Office Word</Application>
  <DocSecurity>0</DocSecurity>
  <Lines>25</Lines>
  <Paragraphs>12</Paragraphs>
  <ScaleCrop>false</ScaleCrop>
  <Company>Olsen Thielen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Kwesi Bediako</dc:creator>
  <cp:lastModifiedBy>Administrator</cp:lastModifiedBy>
  <cp:revision>2</cp:revision>
  <dcterms:created xsi:type="dcterms:W3CDTF">2025-08-14T09:48:00Z</dcterms:created>
  <dcterms:modified xsi:type="dcterms:W3CDTF">2025-08-14T09:48:00Z</dcterms:modified>
</cp:coreProperties>
</file>