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2"/>
        <w:tblW w:w="904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0" w:type="dxa"/>
          <w:right w:w="15" w:type="dxa"/>
        </w:tblCellMar>
      </w:tblPr>
      <w:tblGrid>
        <w:gridCol w:w="1289"/>
        <w:gridCol w:w="7755"/>
      </w:tblGrid>
      <w:tr>
        <w:trPr>
          <w:trHeight w:val="270" w:hRule="atLeast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Deep Learning for Entity Matching: A Design Space Exploration</w:t>
            </w:r>
          </w:p>
        </w:tc>
      </w:tr>
      <w:tr>
        <w:trPr>
          <w:trHeight w:val="270" w:hRule="atLeast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Sidharth Mudgal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Han Li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Theodoros Rekatsinas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AnHai Doan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Youngchoon Park</w:t>
            </w:r>
          </w:p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Ganesh Krishnan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Rohit Deep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Esteban Arcaute</w:t>
            </w:r>
            <w:r>
              <w:rPr>
                <w:rFonts w:cs="宋体" w:ascii="宋体" w:hAnsi="宋体" w:asciiTheme="minorEastAsia" w:cs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Vijay Raghavendra</w:t>
            </w:r>
          </w:p>
        </w:tc>
      </w:tr>
      <w:tr>
        <w:trPr>
          <w:trHeight w:val="270" w:hRule="atLeast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/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http://pages.cs.wisc.edu/~anhai/papers1/deepmatcher-sigmod18.pdf</w:t>
            </w:r>
          </w:p>
        </w:tc>
      </w:tr>
      <w:tr>
        <w:trPr>
          <w:trHeight w:val="270" w:hRule="atLeast"/>
        </w:trPr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</w:rPr>
              <w:t>本文尝试将深度学习应用在实体匹配问题上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3 kinds of EM problem: structured data instances, textual instances, dirty instances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4 kinds of DL methods: SIF, RNN, Attention, Hybrid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The results show that DL does not outperform current solutions on structured EM, but it can significantly outperform them on textual and dirty EM.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Experiment: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11 EM tasks for structured instances, 6 EM tasks for dirty instances, 6 tasks for dirty instances with the number of labeled instances ranging from 450 to 250k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It compare the four DL solutions( SIF, RNN, Attention, Hybrid) with Magellan( a state-of-the-art open-source learning-based EM solution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Result: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Our results show that DL solutions are competitive with Magel-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lan on structured instances (87.9% vs 88.8% average F 1 ), but require far longer training time (5.4h vs 1.5m on average). Thus, it is not clear to what extent DL can help structured EM (compared to just using today learning-based EM solutions).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LibreOffice/6.0.7.3$Linux_X86_64 LibreOffice_project/00m0$Build-3</Application>
  <Pages>2</Pages>
  <Words>190</Words>
  <Characters>1041</Characters>
  <CharactersWithSpaces>1195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dc:description/>
  <dc:language>zh-CN</dc:language>
  <cp:lastModifiedBy/>
  <dcterms:modified xsi:type="dcterms:W3CDTF">2019-08-25T10:33:35Z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2052-11.1.0.8894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