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EcoGrow Future-State Discovery</w:t>
      </w:r>
    </w:p>
    <w:p>
      <w:pPr>
        <w:jc w:val="center"/>
      </w:pPr>
      <w:r>
        <w:rPr>
          <w:b/>
          <w:sz w:val="30"/>
        </w:rPr>
        <w:t>Product Vision &amp; Capability Map | Revalidated Scope</w:t>
      </w:r>
    </w:p>
    <w:p>
      <w:pPr>
        <w:jc w:val="center"/>
      </w:pPr>
      <w:r>
        <w:rPr>
          <w:i/>
        </w:rPr>
        <w:t>Prepared by Doris Frank, Business Analyst</w:t>
      </w:r>
    </w:p>
    <w:p>
      <w:pPr>
        <w:jc w:val="center"/>
      </w:pPr>
      <w:r>
        <w:rPr>
          <w:sz w:val="19"/>
        </w:rPr>
        <w:t>Status: Future-state discovery only. This document does not amend the locked EcoGrow MVP, create new Jira delivery commitments, or represent built functionality.</w:t>
      </w:r>
    </w:p>
    <w:p>
      <w:pPr>
        <w:pStyle w:val="Heading1"/>
      </w:pPr>
      <w:r>
        <w:t>1. Purpose</w:t>
      </w:r>
    </w:p>
    <w:p>
      <w:r>
        <w:t>I am using this document as the controlled starting point for EcoGrow future-state discovery. I will identify credible product opportunities beyond the governed MVP, assess them against user value, business value, feasibility, data, governance and scalability, and only later convert sufficiently mature opportunities into formal requirements and Jira delivery work.</w:t>
      </w:r>
    </w:p>
    <w:p>
      <w:pPr>
        <w:pStyle w:val="Heading1"/>
      </w:pPr>
      <w:r>
        <w:t>2. Locked MVP Baseline</w:t>
      </w:r>
    </w:p>
    <w:p>
      <w:r>
        <w:t>The current governed MVP remains the reference point for future-state work: Plant Library, Harvest Tracker, Community Forum posting, and Usage Analytics. Forum response and the Visual Progress Timeline were already identified as deferred scope. Future-state discovery must build from this baseline without leaking new future scope into FR-01 to FR-09.</w:t>
      </w:r>
    </w:p>
    <w:p>
      <w:pPr>
        <w:pStyle w:val="Heading1"/>
      </w:pPr>
      <w:r>
        <w:t>3. Future-State Product Direction</w:t>
      </w:r>
    </w:p>
    <w:p>
      <w:r>
        <w:t>The future-state question I am exploring is:</w:t>
      </w:r>
    </w:p>
    <w:p>
      <w:pPr>
        <w:jc w:val="center"/>
      </w:pPr>
      <w:r>
        <w:rPr>
          <w:b/>
        </w:rPr>
        <w:t>“Can EcoGrow become an intelligent, location-aware gardening companion that helps gardeners decide what to do, when to do it, and how to protect their plants?”</w:t>
      </w:r>
    </w:p>
    <w:p>
      <w:r>
        <w:t>This is a discovery direction, not an approved product commitment. Each capability must earn its place through evidence, user need, feasibility, governance, prioritisation and value assessment.</w:t>
      </w:r>
    </w:p>
    <w:p>
      <w:pPr>
        <w:pStyle w:val="Heading1"/>
      </w:pPr>
      <w:r>
        <w:t>4. Revalidated Future-State Scope</w:t>
      </w:r>
    </w:p>
    <w:p>
      <w:r>
        <w:t>I rechecked the earlier future-state discovery baseline against the structured capability map and my previously raised concerns. The full scope is broader than EPIC-F01 alone. EPIC-F01 is only the first capability we will deep-dive. The revalidated future-state opportunity set 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7"/>
              </w:rPr>
              <w:t>Scope Item</w:t>
            </w:r>
          </w:p>
        </w:tc>
        <w:tc>
          <w:tcPr>
            <w:tcW w:type="dxa" w:w="2016"/>
            <w:vAlign w:val="center"/>
          </w:tcPr>
          <w:p>
            <w:r>
              <w:rPr>
                <w:sz w:val="17"/>
              </w:rPr>
              <w:t>Future Classification</w:t>
            </w:r>
          </w:p>
        </w:tc>
        <w:tc>
          <w:tcPr>
            <w:tcW w:type="dxa" w:w="2016"/>
            <w:vAlign w:val="center"/>
          </w:tcPr>
          <w:p>
            <w:r>
              <w:rPr>
                <w:sz w:val="17"/>
              </w:rPr>
              <w:t>Primary Epic / Home</w:t>
            </w:r>
          </w:p>
        </w:tc>
        <w:tc>
          <w:tcPr>
            <w:tcW w:type="dxa" w:w="2016"/>
            <w:vAlign w:val="center"/>
          </w:tcPr>
          <w:p>
            <w:r>
              <w:rPr>
                <w:sz w:val="17"/>
              </w:rPr>
              <w:t>Why it remains in scope</w:t>
            </w:r>
          </w:p>
        </w:tc>
        <w:tc>
          <w:tcPr>
            <w:tcW w:type="dxa" w:w="2016"/>
            <w:vAlign w:val="center"/>
          </w:tcPr>
          <w:p>
            <w:r>
              <w:rPr>
                <w:sz w:val="17"/>
              </w:rPr>
              <w:t>Current Position</w:t>
            </w:r>
          </w:p>
        </w:tc>
      </w:tr>
      <w:tr>
        <w:tc>
          <w:tcPr>
            <w:tcW w:type="dxa" w:w="2016"/>
            <w:vAlign w:val="center"/>
          </w:tcPr>
          <w:p>
            <w:r>
              <w:rPr>
                <w:sz w:val="17"/>
              </w:rPr>
              <w:t>Plant-specific care guidance</w:t>
            </w:r>
          </w:p>
        </w:tc>
        <w:tc>
          <w:tcPr>
            <w:tcW w:type="dxa" w:w="2016"/>
            <w:vAlign w:val="center"/>
          </w:tcPr>
          <w:p>
            <w:r>
              <w:rPr>
                <w:sz w:val="17"/>
              </w:rPr>
              <w:t>New opportunity</w:t>
            </w:r>
          </w:p>
        </w:tc>
        <w:tc>
          <w:tcPr>
            <w:tcW w:type="dxa" w:w="2016"/>
            <w:vAlign w:val="center"/>
          </w:tcPr>
          <w:p>
            <w:r>
              <w:rPr>
                <w:sz w:val="17"/>
              </w:rPr>
              <w:t>EPIC-F01 Smart Plant Care</w:t>
            </w:r>
          </w:p>
        </w:tc>
        <w:tc>
          <w:tcPr>
            <w:tcW w:type="dxa" w:w="2016"/>
            <w:vAlign w:val="center"/>
          </w:tcPr>
          <w:p>
            <w:r>
              <w:rPr>
                <w:sz w:val="17"/>
              </w:rPr>
              <w:t>Moves Plant Library from static information toward context-relevant care guidance.</w:t>
            </w:r>
          </w:p>
        </w:tc>
        <w:tc>
          <w:tcPr>
            <w:tcW w:type="dxa" w:w="2016"/>
            <w:vAlign w:val="center"/>
          </w:tcPr>
          <w:p>
            <w:r>
              <w:rPr>
                <w:sz w:val="17"/>
              </w:rPr>
              <w:t>First deep-dive</w:t>
            </w:r>
          </w:p>
        </w:tc>
      </w:tr>
      <w:tr>
        <w:tc>
          <w:tcPr>
            <w:tcW w:type="dxa" w:w="2016"/>
            <w:vAlign w:val="center"/>
          </w:tcPr>
          <w:p>
            <w:r>
              <w:rPr>
                <w:sz w:val="17"/>
              </w:rPr>
              <w:t>Watering guidance</w:t>
            </w:r>
          </w:p>
        </w:tc>
        <w:tc>
          <w:tcPr>
            <w:tcW w:type="dxa" w:w="2016"/>
            <w:vAlign w:val="center"/>
          </w:tcPr>
          <w:p>
            <w:r>
              <w:rPr>
                <w:sz w:val="17"/>
              </w:rPr>
              <w:t>New opportunity</w:t>
            </w:r>
          </w:p>
        </w:tc>
        <w:tc>
          <w:tcPr>
            <w:tcW w:type="dxa" w:w="2016"/>
            <w:vAlign w:val="center"/>
          </w:tcPr>
          <w:p>
            <w:r>
              <w:rPr>
                <w:sz w:val="17"/>
              </w:rPr>
              <w:t>EPIC-F01 Smart Plant Care</w:t>
            </w:r>
          </w:p>
        </w:tc>
        <w:tc>
          <w:tcPr>
            <w:tcW w:type="dxa" w:w="2016"/>
            <w:vAlign w:val="center"/>
          </w:tcPr>
          <w:p>
            <w:r>
              <w:rPr>
                <w:sz w:val="17"/>
              </w:rPr>
              <w:t>Core first capability within intelligent plant care.</w:t>
            </w:r>
          </w:p>
        </w:tc>
        <w:tc>
          <w:tcPr>
            <w:tcW w:type="dxa" w:w="2016"/>
            <w:vAlign w:val="center"/>
          </w:tcPr>
          <w:p>
            <w:r>
              <w:rPr>
                <w:sz w:val="17"/>
              </w:rPr>
              <w:t>FR-11 candidate</w:t>
            </w:r>
          </w:p>
        </w:tc>
      </w:tr>
      <w:tr>
        <w:tc>
          <w:tcPr>
            <w:tcW w:type="dxa" w:w="2016"/>
            <w:vAlign w:val="center"/>
          </w:tcPr>
          <w:p>
            <w:r>
              <w:rPr>
                <w:sz w:val="17"/>
              </w:rPr>
              <w:t>Location-aware gardening</w:t>
            </w:r>
          </w:p>
        </w:tc>
        <w:tc>
          <w:tcPr>
            <w:tcW w:type="dxa" w:w="2016"/>
            <w:vAlign w:val="center"/>
          </w:tcPr>
          <w:p>
            <w:r>
              <w:rPr>
                <w:sz w:val="17"/>
              </w:rPr>
              <w:t>Cross-cutting capability/dependency</w:t>
            </w:r>
          </w:p>
        </w:tc>
        <w:tc>
          <w:tcPr>
            <w:tcW w:type="dxa" w:w="2016"/>
            <w:vAlign w:val="center"/>
          </w:tcPr>
          <w:p>
            <w:r>
              <w:rPr>
                <w:sz w:val="17"/>
              </w:rPr>
              <w:t>EPIC-F02 and EPIC-F05</w:t>
            </w:r>
          </w:p>
        </w:tc>
        <w:tc>
          <w:tcPr>
            <w:tcW w:type="dxa" w:w="2016"/>
            <w:vAlign w:val="center"/>
          </w:tcPr>
          <w:p>
            <w:r>
              <w:rPr>
                <w:sz w:val="17"/>
              </w:rPr>
              <w:t>Supports local context, weather-aware care and relevant personalisation; requires privacy and consent controls.</w:t>
            </w:r>
          </w:p>
        </w:tc>
        <w:tc>
          <w:tcPr>
            <w:tcW w:type="dxa" w:w="2016"/>
            <w:vAlign w:val="center"/>
          </w:tcPr>
          <w:p>
            <w:r>
              <w:rPr>
                <w:sz w:val="17"/>
              </w:rPr>
              <w:t>Discovery dependency, not standalone epic yet</w:t>
            </w:r>
          </w:p>
        </w:tc>
      </w:tr>
      <w:tr>
        <w:tc>
          <w:tcPr>
            <w:tcW w:type="dxa" w:w="2016"/>
            <w:vAlign w:val="center"/>
          </w:tcPr>
          <w:p>
            <w:r>
              <w:rPr>
                <w:sz w:val="17"/>
              </w:rPr>
              <w:t>Weather integration and forecast context</w:t>
            </w:r>
          </w:p>
        </w:tc>
        <w:tc>
          <w:tcPr>
            <w:tcW w:type="dxa" w:w="2016"/>
            <w:vAlign w:val="center"/>
          </w:tcPr>
          <w:p>
            <w:r>
              <w:rPr>
                <w:sz w:val="17"/>
              </w:rPr>
              <w:t>New opportunity</w:t>
            </w:r>
          </w:p>
        </w:tc>
        <w:tc>
          <w:tcPr>
            <w:tcW w:type="dxa" w:w="2016"/>
            <w:vAlign w:val="center"/>
          </w:tcPr>
          <w:p>
            <w:r>
              <w:rPr>
                <w:sz w:val="17"/>
              </w:rPr>
              <w:t>EPIC-F02 Weather-Aware Gardening</w:t>
            </w:r>
          </w:p>
        </w:tc>
        <w:tc>
          <w:tcPr>
            <w:tcW w:type="dxa" w:w="2016"/>
            <w:vAlign w:val="center"/>
          </w:tcPr>
          <w:p>
            <w:r>
              <w:rPr>
                <w:sz w:val="17"/>
              </w:rPr>
              <w:t>Adds environmental context to care decisions.</w:t>
            </w:r>
          </w:p>
        </w:tc>
        <w:tc>
          <w:tcPr>
            <w:tcW w:type="dxa" w:w="2016"/>
            <w:vAlign w:val="center"/>
          </w:tcPr>
          <w:p>
            <w:r>
              <w:rPr>
                <w:sz w:val="17"/>
              </w:rPr>
              <w:t>Candidate</w:t>
            </w:r>
          </w:p>
        </w:tc>
      </w:tr>
      <w:tr>
        <w:tc>
          <w:tcPr>
            <w:tcW w:type="dxa" w:w="2016"/>
            <w:vAlign w:val="center"/>
          </w:tcPr>
          <w:p>
            <w:r>
              <w:rPr>
                <w:sz w:val="17"/>
              </w:rPr>
              <w:t>Severe weather alerts and protective actions</w:t>
            </w:r>
          </w:p>
        </w:tc>
        <w:tc>
          <w:tcPr>
            <w:tcW w:type="dxa" w:w="2016"/>
            <w:vAlign w:val="center"/>
          </w:tcPr>
          <w:p>
            <w:r>
              <w:rPr>
                <w:sz w:val="17"/>
              </w:rPr>
              <w:t>New opportunity</w:t>
            </w:r>
          </w:p>
        </w:tc>
        <w:tc>
          <w:tcPr>
            <w:tcW w:type="dxa" w:w="2016"/>
            <w:vAlign w:val="center"/>
          </w:tcPr>
          <w:p>
            <w:r>
              <w:rPr>
                <w:sz w:val="17"/>
              </w:rPr>
              <w:t>EPIC-F02 Weather-Aware Gardening</w:t>
            </w:r>
          </w:p>
        </w:tc>
        <w:tc>
          <w:tcPr>
            <w:tcW w:type="dxa" w:w="2016"/>
            <w:vAlign w:val="center"/>
          </w:tcPr>
          <w:p>
            <w:r>
              <w:rPr>
                <w:sz w:val="17"/>
              </w:rPr>
              <w:t>Extends weather context into actionable warnings and plant protection.</w:t>
            </w:r>
          </w:p>
        </w:tc>
        <w:tc>
          <w:tcPr>
            <w:tcW w:type="dxa" w:w="2016"/>
            <w:vAlign w:val="center"/>
          </w:tcPr>
          <w:p>
            <w:r>
              <w:rPr>
                <w:sz w:val="17"/>
              </w:rPr>
              <w:t>Candidate</w:t>
            </w:r>
          </w:p>
        </w:tc>
      </w:tr>
      <w:tr>
        <w:tc>
          <w:tcPr>
            <w:tcW w:type="dxa" w:w="2016"/>
            <w:vAlign w:val="center"/>
          </w:tcPr>
          <w:p>
            <w:r>
              <w:rPr>
                <w:sz w:val="17"/>
              </w:rPr>
              <w:t>Plant health identification</w:t>
            </w:r>
          </w:p>
        </w:tc>
        <w:tc>
          <w:tcPr>
            <w:tcW w:type="dxa" w:w="2016"/>
            <w:vAlign w:val="center"/>
          </w:tcPr>
          <w:p>
            <w:r>
              <w:rPr>
                <w:sz w:val="17"/>
              </w:rPr>
              <w:t>New opportunity</w:t>
            </w:r>
          </w:p>
        </w:tc>
        <w:tc>
          <w:tcPr>
            <w:tcW w:type="dxa" w:w="2016"/>
            <w:vAlign w:val="center"/>
          </w:tcPr>
          <w:p>
            <w:r>
              <w:rPr>
                <w:sz w:val="17"/>
              </w:rPr>
              <w:t>EPIC-F03 Plant Health and Protection</w:t>
            </w:r>
          </w:p>
        </w:tc>
        <w:tc>
          <w:tcPr>
            <w:tcW w:type="dxa" w:w="2016"/>
            <w:vAlign w:val="center"/>
          </w:tcPr>
          <w:p>
            <w:r>
              <w:rPr>
                <w:sz w:val="17"/>
              </w:rPr>
              <w:t>Supports classification of pests, disease, nutrient deficiency, environmental stress or unknown symptoms.</w:t>
            </w:r>
          </w:p>
        </w:tc>
        <w:tc>
          <w:tcPr>
            <w:tcW w:type="dxa" w:w="2016"/>
            <w:vAlign w:val="center"/>
          </w:tcPr>
          <w:p>
            <w:r>
              <w:rPr>
                <w:sz w:val="17"/>
              </w:rPr>
              <w:t>Candidate</w:t>
            </w:r>
          </w:p>
        </w:tc>
      </w:tr>
      <w:tr>
        <w:tc>
          <w:tcPr>
            <w:tcW w:type="dxa" w:w="2016"/>
            <w:vAlign w:val="center"/>
          </w:tcPr>
          <w:p>
            <w:r>
              <w:rPr>
                <w:sz w:val="17"/>
              </w:rPr>
              <w:t>Treatment and protection guidance</w:t>
            </w:r>
          </w:p>
        </w:tc>
        <w:tc>
          <w:tcPr>
            <w:tcW w:type="dxa" w:w="2016"/>
            <w:vAlign w:val="center"/>
          </w:tcPr>
          <w:p>
            <w:r>
              <w:rPr>
                <w:sz w:val="17"/>
              </w:rPr>
              <w:t>New opportunity with elevated governance</w:t>
            </w:r>
          </w:p>
        </w:tc>
        <w:tc>
          <w:tcPr>
            <w:tcW w:type="dxa" w:w="2016"/>
            <w:vAlign w:val="center"/>
          </w:tcPr>
          <w:p>
            <w:r>
              <w:rPr>
                <w:sz w:val="17"/>
              </w:rPr>
              <w:t>EPIC-F03 Plant Health and Protection</w:t>
            </w:r>
          </w:p>
        </w:tc>
        <w:tc>
          <w:tcPr>
            <w:tcW w:type="dxa" w:w="2016"/>
            <w:vAlign w:val="center"/>
          </w:tcPr>
          <w:p>
            <w:r>
              <w:rPr>
                <w:sz w:val="17"/>
              </w:rPr>
              <w:t>Requires evidence-based content governance; chemical/pesticide guidance needs stronger controls.</w:t>
            </w:r>
          </w:p>
        </w:tc>
        <w:tc>
          <w:tcPr>
            <w:tcW w:type="dxa" w:w="2016"/>
            <w:vAlign w:val="center"/>
          </w:tcPr>
          <w:p>
            <w:r>
              <w:rPr>
                <w:sz w:val="17"/>
              </w:rPr>
              <w:t>Candidate, gated</w:t>
            </w:r>
          </w:p>
        </w:tc>
      </w:tr>
      <w:tr>
        <w:tc>
          <w:tcPr>
            <w:tcW w:type="dxa" w:w="2016"/>
            <w:vAlign w:val="center"/>
          </w:tcPr>
          <w:p>
            <w:r>
              <w:rPr>
                <w:sz w:val="17"/>
              </w:rPr>
              <w:t>Global plant intelligence / regional plant knowledge</w:t>
            </w:r>
          </w:p>
        </w:tc>
        <w:tc>
          <w:tcPr>
            <w:tcW w:type="dxa" w:w="2016"/>
            <w:vAlign w:val="center"/>
          </w:tcPr>
          <w:p>
            <w:r>
              <w:rPr>
                <w:sz w:val="17"/>
              </w:rPr>
              <w:t>New opportunity</w:t>
            </w:r>
          </w:p>
        </w:tc>
        <w:tc>
          <w:tcPr>
            <w:tcW w:type="dxa" w:w="2016"/>
            <w:vAlign w:val="center"/>
          </w:tcPr>
          <w:p>
            <w:r>
              <w:rPr>
                <w:sz w:val="17"/>
              </w:rPr>
              <w:t>EPIC-F04 Global Plant Intelligence</w:t>
            </w:r>
          </w:p>
        </w:tc>
        <w:tc>
          <w:tcPr>
            <w:tcW w:type="dxa" w:w="2016"/>
            <w:vAlign w:val="center"/>
          </w:tcPr>
          <w:p>
            <w:r>
              <w:rPr>
                <w:sz w:val="17"/>
              </w:rPr>
              <w:t>Adds species, variety, regional, climate and growing-season context.</w:t>
            </w:r>
          </w:p>
        </w:tc>
        <w:tc>
          <w:tcPr>
            <w:tcW w:type="dxa" w:w="2016"/>
            <w:vAlign w:val="center"/>
          </w:tcPr>
          <w:p>
            <w:r>
              <w:rPr>
                <w:sz w:val="17"/>
              </w:rPr>
              <w:t>Candidate</w:t>
            </w:r>
          </w:p>
        </w:tc>
      </w:tr>
      <w:tr>
        <w:tc>
          <w:tcPr>
            <w:tcW w:type="dxa" w:w="2016"/>
            <w:vAlign w:val="center"/>
          </w:tcPr>
          <w:p>
            <w:r>
              <w:rPr>
                <w:sz w:val="17"/>
              </w:rPr>
              <w:t>Personalised garden experience</w:t>
            </w:r>
          </w:p>
        </w:tc>
        <w:tc>
          <w:tcPr>
            <w:tcW w:type="dxa" w:w="2016"/>
            <w:vAlign w:val="center"/>
          </w:tcPr>
          <w:p>
            <w:r>
              <w:rPr>
                <w:sz w:val="17"/>
              </w:rPr>
              <w:t>New opportunity</w:t>
            </w:r>
          </w:p>
        </w:tc>
        <w:tc>
          <w:tcPr>
            <w:tcW w:type="dxa" w:w="2016"/>
            <w:vAlign w:val="center"/>
          </w:tcPr>
          <w:p>
            <w:r>
              <w:rPr>
                <w:sz w:val="17"/>
              </w:rPr>
              <w:t>EPIC-F05 Personalised Garden Experience</w:t>
            </w:r>
          </w:p>
        </w:tc>
        <w:tc>
          <w:tcPr>
            <w:tcW w:type="dxa" w:w="2016"/>
            <w:vAlign w:val="center"/>
          </w:tcPr>
          <w:p>
            <w:r>
              <w:rPr>
                <w:sz w:val="17"/>
              </w:rPr>
              <w:t>Uses gardener profile, garden context, history and preferences to improve relevance.</w:t>
            </w:r>
          </w:p>
        </w:tc>
        <w:tc>
          <w:tcPr>
            <w:tcW w:type="dxa" w:w="2016"/>
            <w:vAlign w:val="center"/>
          </w:tcPr>
          <w:p>
            <w:r>
              <w:rPr>
                <w:sz w:val="17"/>
              </w:rPr>
              <w:t>Candidate</w:t>
            </w:r>
          </w:p>
        </w:tc>
      </w:tr>
      <w:tr>
        <w:tc>
          <w:tcPr>
            <w:tcW w:type="dxa" w:w="2016"/>
            <w:vAlign w:val="center"/>
          </w:tcPr>
          <w:p>
            <w:r>
              <w:rPr>
                <w:sz w:val="17"/>
              </w:rPr>
              <w:t>Platform scalability and global readiness</w:t>
            </w:r>
          </w:p>
        </w:tc>
        <w:tc>
          <w:tcPr>
            <w:tcW w:type="dxa" w:w="2016"/>
            <w:vAlign w:val="center"/>
          </w:tcPr>
          <w:p>
            <w:r>
              <w:rPr>
                <w:sz w:val="17"/>
              </w:rPr>
              <w:t>System capability / business case</w:t>
            </w:r>
          </w:p>
        </w:tc>
        <w:tc>
          <w:tcPr>
            <w:tcW w:type="dxa" w:w="2016"/>
            <w:vAlign w:val="center"/>
          </w:tcPr>
          <w:p>
            <w:r>
              <w:rPr>
                <w:sz w:val="17"/>
              </w:rPr>
              <w:t>EPIC-F06 Platform Scalability and Global Readiness</w:t>
            </w:r>
          </w:p>
        </w:tc>
        <w:tc>
          <w:tcPr>
            <w:tcW w:type="dxa" w:w="2016"/>
            <w:vAlign w:val="center"/>
          </w:tcPr>
          <w:p>
            <w:r>
              <w:rPr>
                <w:sz w:val="17"/>
              </w:rPr>
              <w:t>Covers technical, geographic, content, operational and cost scalability for wider adoption.</w:t>
            </w:r>
          </w:p>
        </w:tc>
        <w:tc>
          <w:tcPr>
            <w:tcW w:type="dxa" w:w="2016"/>
            <w:vAlign w:val="center"/>
          </w:tcPr>
          <w:p>
            <w:r>
              <w:rPr>
                <w:sz w:val="17"/>
              </w:rPr>
              <w:t>Candidate, evidence required</w:t>
            </w:r>
          </w:p>
        </w:tc>
      </w:tr>
      <w:tr>
        <w:tc>
          <w:tcPr>
            <w:tcW w:type="dxa" w:w="2016"/>
            <w:vAlign w:val="center"/>
          </w:tcPr>
          <w:p>
            <w:r>
              <w:rPr>
                <w:sz w:val="17"/>
              </w:rPr>
              <w:t>Community Forum response</w:t>
            </w:r>
          </w:p>
        </w:tc>
        <w:tc>
          <w:tcPr>
            <w:tcW w:type="dxa" w:w="2016"/>
            <w:vAlign w:val="center"/>
          </w:tcPr>
          <w:p>
            <w:r>
              <w:rPr>
                <w:sz w:val="17"/>
              </w:rPr>
              <w:t>Deferred MVP roadmap item</w:t>
            </w:r>
          </w:p>
        </w:tc>
        <w:tc>
          <w:tcPr>
            <w:tcW w:type="dxa" w:w="2016"/>
            <w:vAlign w:val="center"/>
          </w:tcPr>
          <w:p>
            <w:r>
              <w:rPr>
                <w:sz w:val="17"/>
              </w:rPr>
              <w:t>Future roadmap backlog</w:t>
            </w:r>
          </w:p>
        </w:tc>
        <w:tc>
          <w:tcPr>
            <w:tcW w:type="dxa" w:w="2016"/>
            <w:vAlign w:val="center"/>
          </w:tcPr>
          <w:p>
            <w:r>
              <w:rPr>
                <w:sz w:val="17"/>
              </w:rPr>
              <w:t>Already identified as out of MVP scope and remains a valid future enhancement.</w:t>
            </w:r>
          </w:p>
        </w:tc>
        <w:tc>
          <w:tcPr>
            <w:tcW w:type="dxa" w:w="2016"/>
            <w:vAlign w:val="center"/>
          </w:tcPr>
          <w:p>
            <w:r>
              <w:rPr>
                <w:sz w:val="17"/>
              </w:rPr>
              <w:t>Deferred, not forgotten</w:t>
            </w:r>
          </w:p>
        </w:tc>
      </w:tr>
      <w:tr>
        <w:tc>
          <w:tcPr>
            <w:tcW w:type="dxa" w:w="2016"/>
            <w:vAlign w:val="center"/>
          </w:tcPr>
          <w:p>
            <w:r>
              <w:rPr>
                <w:sz w:val="17"/>
              </w:rPr>
              <w:t>Visual progress timeline</w:t>
            </w:r>
          </w:p>
        </w:tc>
        <w:tc>
          <w:tcPr>
            <w:tcW w:type="dxa" w:w="2016"/>
            <w:vAlign w:val="center"/>
          </w:tcPr>
          <w:p>
            <w:r>
              <w:rPr>
                <w:sz w:val="17"/>
              </w:rPr>
              <w:t>Deferred MVP roadmap item</w:t>
            </w:r>
          </w:p>
        </w:tc>
        <w:tc>
          <w:tcPr>
            <w:tcW w:type="dxa" w:w="2016"/>
            <w:vAlign w:val="center"/>
          </w:tcPr>
          <w:p>
            <w:r>
              <w:rPr>
                <w:sz w:val="17"/>
              </w:rPr>
              <w:t>Future roadmap backlog</w:t>
            </w:r>
          </w:p>
        </w:tc>
        <w:tc>
          <w:tcPr>
            <w:tcW w:type="dxa" w:w="2016"/>
            <w:vAlign w:val="center"/>
          </w:tcPr>
          <w:p>
            <w:r>
              <w:rPr>
                <w:sz w:val="17"/>
              </w:rPr>
              <w:t>Already identified as out of MVP scope and remains a valid future enhancement.</w:t>
            </w:r>
          </w:p>
        </w:tc>
        <w:tc>
          <w:tcPr>
            <w:tcW w:type="dxa" w:w="2016"/>
            <w:vAlign w:val="center"/>
          </w:tcPr>
          <w:p>
            <w:r>
              <w:rPr>
                <w:sz w:val="17"/>
              </w:rPr>
              <w:t>Deferred, not forgotten</w:t>
            </w:r>
          </w:p>
        </w:tc>
      </w:tr>
    </w:tbl>
    <w:p>
      <w:pPr>
        <w:pStyle w:val="Heading1"/>
      </w:pPr>
      <w:r>
        <w:t>5. Future Epic Map</w:t>
      </w:r>
    </w:p>
    <w:p>
      <w:r>
        <w:rPr>
          <w:b/>
        </w:rPr>
        <w:t>EPIC-F01 Smart Plant Care</w:t>
      </w:r>
      <w:r>
        <w:t xml:space="preserve">: Move from static plant information toward plant-specific care guidance, beginning with watering guidance. </w:t>
      </w:r>
      <w:r>
        <w:rPr>
          <w:i/>
        </w:rPr>
        <w:t>Boundary: Discovery first. No Jira stories until the discovery gate is satisfied.</w:t>
      </w:r>
    </w:p>
    <w:p>
      <w:r>
        <w:rPr>
          <w:b/>
        </w:rPr>
        <w:t>EPIC-F02 Weather-Aware Gardening</w:t>
      </w:r>
      <w:r>
        <w:t xml:space="preserve">: Use local environmental context to improve care guidance and protective actions. </w:t>
      </w:r>
      <w:r>
        <w:rPr>
          <w:i/>
        </w:rPr>
        <w:t>Boundary: Depends on location, weather data, rules, privacy and reliability assessment.</w:t>
      </w:r>
    </w:p>
    <w:p>
      <w:r>
        <w:rPr>
          <w:b/>
        </w:rPr>
        <w:t>EPIC-F03 Plant Health and Protection</w:t>
      </w:r>
      <w:r>
        <w:t xml:space="preserve">: Help gardeners identify plant-health issues and provide governed protection guidance. </w:t>
      </w:r>
      <w:r>
        <w:rPr>
          <w:i/>
        </w:rPr>
        <w:t>Boundary: Higher content and safety governance. Chemical/pesticide recommendations require stronger controls.</w:t>
      </w:r>
    </w:p>
    <w:p>
      <w:r>
        <w:rPr>
          <w:b/>
        </w:rPr>
        <w:t>EPIC-F04 Global Plant Intelligence</w:t>
      </w:r>
      <w:r>
        <w:t xml:space="preserve">: Expand plant knowledge, regional context and plant intelligence across geographies. </w:t>
      </w:r>
      <w:r>
        <w:rPr>
          <w:i/>
        </w:rPr>
        <w:t>Boundary: Requires content, localisation, data, regulatory and operating-model assessment.</w:t>
      </w:r>
    </w:p>
    <w:p>
      <w:r>
        <w:rPr>
          <w:b/>
        </w:rPr>
        <w:t>EPIC-F05 Personalised Garden Experience</w:t>
      </w:r>
      <w:r>
        <w:t xml:space="preserve">: Use gardener profile, garden context, history and preferences to improve relevance. </w:t>
      </w:r>
      <w:r>
        <w:rPr>
          <w:i/>
        </w:rPr>
        <w:t>Boundary: Requires consent, privacy, data model and clear value proposition.</w:t>
      </w:r>
    </w:p>
    <w:p>
      <w:r>
        <w:rPr>
          <w:b/>
        </w:rPr>
        <w:t>EPIC-F06 Platform Scalability and Global Readiness</w:t>
      </w:r>
      <w:r>
        <w:t xml:space="preserve">: Assess technical, operational, geographic, content and cost scalability for wider adoption. </w:t>
      </w:r>
      <w:r>
        <w:rPr>
          <w:i/>
        </w:rPr>
        <w:t>Boundary: Evidence and business case required before any scale commitment.</w:t>
      </w:r>
    </w:p>
    <w:p>
      <w:pPr>
        <w:pStyle w:val="Heading1"/>
      </w:pPr>
      <w:r>
        <w:t>6. EPIC-F01 Boundary</w:t>
      </w:r>
    </w:p>
    <w:p>
      <w:r>
        <w:t>I am deliberately starting with Smart Plant Care rather than building all future epics at once. This lets me prove the discovery method on a tightly bounded capability before scaling it.</w:t>
      </w:r>
    </w:p>
    <w:p>
      <w:r>
        <w:t>F01.1 Plant-Specific Care Guidance: Explore how EcoGrow could provide care guidance relevant to a specific plant rather than generic information only.</w:t>
      </w:r>
    </w:p>
    <w:p>
      <w:r>
        <w:t>F01.2 Watering Guidance: Explore plant-specific watering guidance that can account for relevant conditions and communicate limitations or uncertainty.</w:t>
      </w:r>
    </w:p>
    <w:p>
      <w:r>
        <w:t>Weather-aware context is intentionally deferred to EPIC-F02. Location remains a cross-cutting dependency because local context may be required for weather-aware guidance and personalisation, but it is not being invented as a standalone epic at this stage.</w:t>
      </w:r>
    </w:p>
    <w:p>
      <w:pPr>
        <w:pStyle w:val="Heading1"/>
      </w:pPr>
      <w:r>
        <w:t>7. Candidate Future Requirements and Story</w:t>
      </w:r>
    </w:p>
    <w:p>
      <w:r>
        <w:t>FR-10: EcoGrow shall provide plant-specific care guidance that enables gardeners to make more informed decisions about caring for their plants.</w:t>
      </w:r>
    </w:p>
    <w:p>
      <w:r>
        <w:t>FR-11: EcoGrow shall provide plant-specific watering guidance to help gardeners make informed watering decisions.</w:t>
      </w:r>
    </w:p>
    <w:p>
      <w:r>
        <w:t>US-08: As a gardener, I want to view watering guidance for a plant so that I can make informed decisions about caring for it.</w:t>
      </w:r>
    </w:p>
    <w:p>
      <w:r>
        <w:t>These remain discovery candidates. Acceptance criteria will be designed after confirming the exact user need, content authority, data inputs, conditions and limitations, review expectations and prioritisation.</w:t>
      </w:r>
    </w:p>
    <w:p>
      <w:pPr>
        <w:pStyle w:val="Heading1"/>
      </w:pPr>
      <w:r>
        <w:t>8. Governance and Specialist Content Boundaries</w:t>
      </w:r>
    </w:p>
    <w:p>
      <w:pPr>
        <w:pStyle w:val="ListBullet"/>
      </w:pPr>
      <w:r>
        <w:t>I will not add future stakeholders merely because a framework suggests they might be useful. Any future stakeholder must have a real capability or governance basis.</w:t>
      </w:r>
    </w:p>
    <w:p>
      <w:pPr>
        <w:pStyle w:val="ListBullet"/>
      </w:pPr>
      <w:r>
        <w:t>A Plant Science / Horticulture SME becomes a justified future governance role when plant-care guidance is formally taken forward. Specialist Plant Protection or Pest Management expertise may be required for pest, treatment or chemical guidance.</w:t>
      </w:r>
    </w:p>
    <w:p>
      <w:pPr>
        <w:pStyle w:val="ListBullet"/>
      </w:pPr>
      <w:r>
        <w:t>I will not add these future roles to the current MVP stakeholder register retrospectively.</w:t>
      </w:r>
    </w:p>
    <w:p>
      <w:pPr>
        <w:pStyle w:val="ListBullet"/>
      </w:pPr>
      <w:r>
        <w:t>Chemical or pesticide guidance is a gated capability requiring stronger content and safety governance before approval.</w:t>
      </w:r>
    </w:p>
    <w:p>
      <w:pPr>
        <w:pStyle w:val="Heading1"/>
      </w:pPr>
      <w:r>
        <w:t>9. Data, Integration, Scale and Cost Scope</w:t>
      </w:r>
    </w:p>
    <w:p>
      <w:r>
        <w:t>The future-state assessment will cover the system implications already identified in discovery: plant knowledge, location, weather, gardener context, analytics events, external weather APIs, notifications, privacy, content ownership and review, localisation, time zones, climate zones, operational support, moderation, monitoring, data storage, API traffic and platform capacity.</w:t>
      </w:r>
    </w:p>
    <w:p>
      <w:r>
        <w:t>I will also assess cost, scalability, global readiness and ROI as decision inputs. I will not assert global viability or financial benefit before the underlying assumptions, usage scenarios and cost drivers are defined and evidenced.</w:t>
      </w:r>
    </w:p>
    <w:p>
      <w:pPr>
        <w:pStyle w:val="Heading1"/>
      </w:pPr>
      <w:r>
        <w:t>10. Existing Deferred Scope</w:t>
      </w:r>
    </w:p>
    <w:p>
      <w:r>
        <w:t>I am explicitly carrying forward the two existing deferred MVP roadmap items so they are not lost from the future-state picture: Community Forum response and Visual Progress Timeline. They remain deferred roadmap items and will not be confused with the new opportunities being discovered in the six future epics.</w:t>
      </w:r>
    </w:p>
    <w:p>
      <w:pPr>
        <w:pStyle w:val="Heading1"/>
      </w:pPr>
      <w:r>
        <w:t>11. Evidence Classification</w:t>
      </w:r>
    </w:p>
    <w:p>
      <w:r>
        <w:rPr>
          <w:b/>
        </w:rPr>
        <w:t xml:space="preserve">Existing: </w:t>
      </w:r>
      <w:r>
        <w:t>Already established in the governed EcoGrow MVP.</w:t>
      </w:r>
    </w:p>
    <w:p>
      <w:r>
        <w:rPr>
          <w:b/>
        </w:rPr>
        <w:t xml:space="preserve">Deferred: </w:t>
      </w:r>
      <w:r>
        <w:t>Already identified by the source as future scope.</w:t>
      </w:r>
    </w:p>
    <w:p>
      <w:r>
        <w:rPr>
          <w:b/>
        </w:rPr>
        <w:t xml:space="preserve">New opportunity: </w:t>
      </w:r>
      <w:r>
        <w:t>A capability identified through current BSA and product discovery.</w:t>
      </w:r>
    </w:p>
    <w:p>
      <w:r>
        <w:rPr>
          <w:b/>
        </w:rPr>
        <w:t xml:space="preserve">Governance dependency: </w:t>
      </w:r>
      <w:r>
        <w:t>A condition that must exist before a capability can responsibly progress.</w:t>
      </w:r>
    </w:p>
    <w:p>
      <w:r>
        <w:rPr>
          <w:b/>
        </w:rPr>
        <w:t xml:space="preserve">Open question: </w:t>
      </w:r>
      <w:r>
        <w:t>A matter requiring GreenSphere confirmation or additional evidence.</w:t>
      </w:r>
    </w:p>
    <w:p>
      <w:r>
        <w:rPr>
          <w:b/>
        </w:rPr>
        <w:t xml:space="preserve">Future requirement candidate: </w:t>
      </w:r>
      <w:r>
        <w:t>A requirement proposed for discovery, not yet approved baseline.</w:t>
      </w:r>
    </w:p>
    <w:p>
      <w:pPr>
        <w:pStyle w:val="Heading1"/>
      </w:pPr>
      <w:r>
        <w:t>12. Future-State Delivery Chain</w:t>
      </w:r>
    </w:p>
    <w:p>
      <w:r>
        <w:t>Opportunity → User Need → Business Outcome → Capability → Epic → Feature → Future Requirement → User Story → Acceptance Criteria → Tasks/Subtasks as needed → NFRs → Data / Integration Requirements → Dependencies → Stakeholders / Personas → DoR → Prioritisation → Jira creation → Sprint Planning → Build → QA → real Bug if found → Retest → Sprint Review → Product Owner acceptance → Done</w:t>
      </w:r>
    </w:p>
    <w:p>
      <w:r>
        <w:t>Discovery work may stop at any stage when evidence or governance is insufficient. A candidate does not automatically progress to delivery.</w:t>
      </w:r>
    </w:p>
    <w:p>
      <w:pPr>
        <w:pStyle w:val="Heading1"/>
      </w:pPr>
      <w:r>
        <w:t>13. Five-Pass Execution Model</w:t>
      </w:r>
    </w:p>
    <w:p>
      <w:pPr>
        <w:pStyle w:val="ListNumber"/>
      </w:pPr>
      <w:r>
        <w:rPr>
          <w:b/>
        </w:rPr>
        <w:t xml:space="preserve">Pass 1: Future-State Foundation: </w:t>
      </w:r>
      <w:r>
        <w:t>Vision, full capability map, scope boundaries, IDs, governance rules and first epic.</w:t>
      </w:r>
    </w:p>
    <w:p>
      <w:pPr>
        <w:pStyle w:val="ListNumber"/>
      </w:pPr>
      <w:r>
        <w:rPr>
          <w:b/>
        </w:rPr>
        <w:t xml:space="preserve">Pass 2: EPIC-F01 Deep Discovery: </w:t>
      </w:r>
      <w:r>
        <w:t>Opportunity, user need, personas, features, FR-10/FR-11, acceptance logic, NFRs, dependencies, content governance and value.</w:t>
      </w:r>
    </w:p>
    <w:p>
      <w:pPr>
        <w:pStyle w:val="ListNumber"/>
      </w:pPr>
      <w:r>
        <w:rPr>
          <w:b/>
        </w:rPr>
        <w:t xml:space="preserve">Pass 3: Future-State Delivery Translation: </w:t>
      </w:r>
      <w:r>
        <w:t>Convert only approved discovery into the Jira-ready Epic/Feature/Story chain and supporting governance artefacts.</w:t>
      </w:r>
    </w:p>
    <w:p>
      <w:pPr>
        <w:pStyle w:val="ListNumber"/>
      </w:pPr>
      <w:r>
        <w:rPr>
          <w:b/>
        </w:rPr>
        <w:t xml:space="preserve">Pass 4: Cross-Artifact QA: </w:t>
      </w:r>
      <w:r>
        <w:t>Audit first-person consistency, ID integrity, scope separation, stakeholder logic, governance and evidence boundaries.</w:t>
      </w:r>
    </w:p>
    <w:p>
      <w:pPr>
        <w:pStyle w:val="ListNumber"/>
      </w:pPr>
      <w:r>
        <w:rPr>
          <w:b/>
        </w:rPr>
        <w:t xml:space="preserve">Pass 5: Portfolio Packaging: </w:t>
      </w:r>
      <w:r>
        <w:t>Produce the executive future-state narrative, justified diagrams and clean project folder structure.</w:t>
      </w:r>
    </w:p>
    <w:p>
      <w:pPr>
        <w:pStyle w:val="Heading1"/>
      </w:pPr>
      <w:r>
        <w:t>14. Current Decision</w:t>
      </w:r>
    </w:p>
    <w:p>
      <w:r>
        <w:t>I am starting with EPIC-F01 Smart Plant Care. I will not advance EPIC-F02, EPIC-F03, EPIC-F04, EPIC-F05 or EPIC-F06 into detailed backlog design until the first capability proves the discovery method and its governance boundaries. The existing deferred Forum response and Visual Progress Timeline remain visible as future roadmap items, not forgotten scope.</w:t>
      </w:r>
    </w:p>
    <w:p>
      <w:pPr>
        <w:jc w:val="center"/>
      </w:pPr>
      <w:r>
        <w:rPr>
          <w:i/>
          <w:sz w:val="18"/>
        </w:rPr>
        <w:t>EcoGrow Future-State Discovery | Revalidated Scope | Prepared by Doris Frank, Business Analyst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