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EcoGrow</w:t>
      </w:r>
    </w:p>
    <w:p>
      <w:pPr>
        <w:spacing w:after="100"/>
      </w:pPr>
      <w:r>
        <w:rPr>
          <w:b/>
          <w:bCs/>
          <w:color w:val="0E7C7B"/>
          <w:sz w:val="32"/>
          <w:szCs w:val="32"/>
        </w:rPr>
        <w:t xml:space="preserve">Section 1: Project Initiation &amp; Discovery</w:t>
      </w:r>
    </w:p>
    <w:p>
      <w:pPr>
        <w:spacing w:after="400"/>
      </w:pPr>
      <w:r>
        <w:rPr>
          <w:color w:val="5A6B6B"/>
          <w:sz w:val="22"/>
          <w:szCs w:val="22"/>
        </w:rPr>
        <w:t xml:space="preserve">Prepared by Doris Frank, Business Analyst</w:t>
      </w:r>
    </w:p>
    <w:p>
      <w:pPr>
        <w:pStyle w:val="Heading1"/>
        <w:spacing w:after="200" w:before="400"/>
      </w:pPr>
      <w:r>
        <w:t xml:space="preserve">1.1 Business Context</w:t>
      </w:r>
    </w:p>
    <w:p>
      <w:pPr>
        <w:spacing w:after="160"/>
      </w:pPr>
      <w:r>
        <w:t xml:space="preserve">GreenSphere Innovations is a pioneering technology firm based in San Francisco, dedicated to using technology as a force for environmental stewardship. Its EcoGrow product gives home and community gardeners a single reliable source for plant-care information, a way to connect with other gardeners, and simple tools to track their own progress. Delivery is structured around a 35-person cross-functional team spanning full-stack development, UI/UX design, and QA.</w:t>
      </w:r>
    </w:p>
    <w:p>
      <w:pPr>
        <w:spacing w:after="160"/>
      </w:pPr>
      <w:r>
        <w:t xml:space="preserve">The engagement is grounded in three explicitly stated problems: gardeners lack a single reliable source for plant-care information, there are few dedicated platforms for gardeners to connect and share knowledge, and there are no simple tools to track progress, record harvests, and celebrate achievements. GreenSphere's stated core values, sustainable innovation, community first, and empowerment through simplicity, sit behind every prioritisation decision in this engagement.</w:t>
      </w:r>
    </w:p>
    <w:p>
      <w:pPr>
        <w:pStyle w:val="Heading1"/>
        <w:spacing w:after="200" w:before="400"/>
      </w:pPr>
      <w:r>
        <w:t xml:space="preserve">1.2 Engagement Mandate</w:t>
      </w:r>
    </w:p>
    <w:p>
      <w:pPr>
        <w:spacing w:after="160"/>
      </w:pPr>
      <w:r>
        <w:t xml:space="preserve">I was engaged as the Business Analyst for the EcoGrow initiative, working directly with GreenSphere's delivery team across the full product lifecycle: discovery, requirements, backlog engineering, sprint delivery support, business validation, and release readiness.</w:t>
      </w:r>
    </w:p>
    <w:p>
      <w:pPr>
        <w:spacing w:after="160"/>
      </w:pPr>
      <w:r>
        <w:t xml:space="preserve">My mandate covers structuring the engagement itself, since the originating brief defines the business problem and the delivery mechanics (Jira, three two-week sprints) but does not supply governance structures, stakeholder definitions, or a requirements baseline. Establishing those is the first output of this engagement, not an input to it.</w:t>
      </w:r>
    </w:p>
    <w:p>
      <w:pPr>
        <w:pStyle w:val="Heading1"/>
        <w:spacing w:after="200" w:before="400"/>
      </w:pPr>
      <w:r>
        <w:t xml:space="preserve">1.3 Problem Framing</w:t>
      </w:r>
    </w:p>
    <w:p>
      <w:pPr>
        <w:spacing w:after="160"/>
      </w:pPr>
      <w:r>
        <w:t xml:space="preserve">I reframed GreenSphere's three stated problems as three distinct gaps that the product needs to close, rather than three features to be built in isolation:</w:t>
      </w:r>
    </w:p>
    <w:p>
      <w:pPr>
        <w:pStyle w:val="ListParagraph"/>
        <w:numPr>
          <w:ilvl w:val="0"/>
          <w:numId w:val="1"/>
        </w:numPr>
        <w:spacing w:after="80"/>
      </w:pPr>
      <w:r>
        <w:t xml:space="preserve">Scattered information: gardeners currently rely on fragmented, unreliable sources for plant care guidance.</w:t>
      </w:r>
    </w:p>
    <w:p>
      <w:pPr>
        <w:pStyle w:val="ListParagraph"/>
        <w:numPr>
          <w:ilvl w:val="0"/>
          <w:numId w:val="1"/>
        </w:numPr>
        <w:spacing w:after="80"/>
      </w:pPr>
      <w:r>
        <w:t xml:space="preserve">Lack of community: gardeners have few dedicated platforms to connect with others or share what they've learned.</w:t>
      </w:r>
    </w:p>
    <w:p>
      <w:pPr>
        <w:pStyle w:val="ListParagraph"/>
        <w:numPr>
          <w:ilvl w:val="0"/>
          <w:numId w:val="1"/>
        </w:numPr>
        <w:spacing w:after="80"/>
      </w:pPr>
      <w:r>
        <w:t xml:space="preserve">Ineffective tracking: there is no simple way for a gardener to record progress or recognise their own achievements.</w:t>
      </w:r>
    </w:p>
    <w:p>
      <w:pPr>
        <w:spacing w:after="160"/>
      </w:pPr>
      <w:r>
        <w:t xml:space="preserve">Each of these maps to one of EcoGrow's three stated core capabilities, Plant Library, Community Forum, and Harvest Tracker, which gives me a clean line from problem to product from the outset of the engagement.</w:t>
      </w:r>
    </w:p>
    <w:p>
      <w:pPr>
        <w:pStyle w:val="Heading1"/>
        <w:spacing w:after="200" w:before="400"/>
      </w:pPr>
      <w:r>
        <w:t xml:space="preserve">1.4 Stakeholder Discovery</w:t>
      </w:r>
    </w:p>
    <w:p>
      <w:pPr>
        <w:spacing w:after="160"/>
      </w:pPr>
      <w:r>
        <w:t xml:space="preserve">Given the confidentiality constraints of this engagement, stakeholder engagement in this report is represented through structured personas built against defined roles on the GreenSphere delivery team, rather than named individuals. Each persona reflects a real functional perspective within the engagement without disclosing identity.</w:t>
      </w:r>
    </w:p>
    <w:p>
      <w:pPr>
        <w:pStyle w:val="Heading1"/>
        <w:spacing w:after="200" w:before="400"/>
      </w:pPr>
      <w:r>
        <w:t xml:space="preserve">1.5 Stakeholder Register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3600"/>
        <w:gridCol w:w="1300"/>
        <w:gridCol w:w="1300"/>
      </w:tblGrid>
      <w:tr>
        <w:tc>
          <w:tcPr>
            <w:tcW w:type="dxa" w:w="1200"/>
            <w:shd w:fill="0E7C7B" w:val="clear"/>
          </w:tcPr>
          <w:p>
            <w:r>
              <w:rPr>
                <w:b/>
                <w:bCs/>
                <w:color w:val="FFFFFF"/>
                <w:sz w:val="20"/>
                <w:szCs w:val="20"/>
              </w:rPr>
              <w:t xml:space="preserve">ID</w:t>
            </w:r>
          </w:p>
        </w:tc>
        <w:tc>
          <w:tcPr>
            <w:tcW w:type="dxa" w:w="2600"/>
            <w:shd w:fill="0E7C7B" w:val="clear"/>
          </w:tcPr>
          <w:p>
            <w:r>
              <w:rPr>
                <w:b/>
                <w:bCs/>
                <w:color w:val="FFFFFF"/>
                <w:sz w:val="20"/>
                <w:szCs w:val="20"/>
              </w:rPr>
              <w:t xml:space="preserve">Persona</w:t>
            </w:r>
          </w:p>
        </w:tc>
        <w:tc>
          <w:tcPr>
            <w:tcW w:type="dxa" w:w="3600"/>
            <w:shd w:fill="0E7C7B" w:val="clear"/>
          </w:tcPr>
          <w:p>
            <w:r>
              <w:rPr>
                <w:b/>
                <w:bCs/>
                <w:color w:val="FFFFFF"/>
                <w:sz w:val="20"/>
                <w:szCs w:val="20"/>
              </w:rPr>
              <w:t xml:space="preserve">Role</w:t>
            </w:r>
          </w:p>
        </w:tc>
        <w:tc>
          <w:tcPr>
            <w:tcW w:type="dxa" w:w="1300"/>
            <w:shd w:fill="0E7C7B" w:val="clear"/>
          </w:tcPr>
          <w:p>
            <w:r>
              <w:rPr>
                <w:b/>
                <w:bCs/>
                <w:color w:val="FFFFFF"/>
                <w:sz w:val="20"/>
                <w:szCs w:val="20"/>
              </w:rPr>
              <w:t xml:space="preserve">Interest</w:t>
            </w:r>
          </w:p>
        </w:tc>
        <w:tc>
          <w:tcPr>
            <w:tcW w:type="dxa" w:w="1300"/>
            <w:shd w:fill="0E7C7B" w:val="clear"/>
          </w:tcPr>
          <w:p>
            <w:r>
              <w:rPr>
                <w:b/>
                <w:bCs/>
                <w:color w:val="FFFFFF"/>
                <w:sz w:val="20"/>
                <w:szCs w:val="20"/>
              </w:rPr>
              <w:t xml:space="preserve">Power</w:t>
            </w:r>
          </w:p>
        </w:tc>
      </w:tr>
      <w:tr>
        <w:tc>
          <w:tcPr>
            <w:tcW w:type="dxa" w:w="1200"/>
          </w:tcPr>
          <w:p>
            <w:r>
              <w:rPr>
                <w:b w:val="false"/>
                <w:bCs w:val="false"/>
                <w:color w:val="000000"/>
                <w:sz w:val="20"/>
                <w:szCs w:val="20"/>
              </w:rPr>
              <w:t xml:space="preserve">STK-01</w:t>
            </w:r>
          </w:p>
        </w:tc>
        <w:tc>
          <w:tcPr>
            <w:tcW w:type="dxa" w:w="2600"/>
          </w:tcPr>
          <w:p>
            <w:r>
              <w:rPr>
                <w:b w:val="false"/>
                <w:bCs w:val="false"/>
                <w:color w:val="000000"/>
                <w:sz w:val="20"/>
                <w:szCs w:val="20"/>
              </w:rPr>
              <w:t xml:space="preserve">Product Sponsor Persona</w:t>
            </w:r>
          </w:p>
        </w:tc>
        <w:tc>
          <w:tcPr>
            <w:tcW w:type="dxa" w:w="3600"/>
          </w:tcPr>
          <w:p>
            <w:r>
              <w:rPr>
                <w:b w:val="false"/>
                <w:bCs w:val="false"/>
                <w:color w:val="000000"/>
                <w:sz w:val="20"/>
                <w:szCs w:val="20"/>
              </w:rPr>
              <w:t xml:space="preserve">Commissions the engagement, holds budget authority</w:t>
            </w:r>
          </w:p>
        </w:tc>
        <w:tc>
          <w:tcPr>
            <w:tcW w:type="dxa" w:w="1300"/>
          </w:tcPr>
          <w:p>
            <w:r>
              <w:rPr>
                <w:b w:val="false"/>
                <w:bCs w:val="false"/>
                <w:color w:val="000000"/>
                <w:sz w:val="20"/>
                <w:szCs w:val="20"/>
              </w:rPr>
              <w:t xml:space="preserve">High</w:t>
            </w:r>
          </w:p>
        </w:tc>
        <w:tc>
          <w:tcPr>
            <w:tcW w:type="dxa" w:w="1300"/>
          </w:tcPr>
          <w:p>
            <w:r>
              <w:rPr>
                <w:b w:val="false"/>
                <w:bCs w:val="false"/>
                <w:color w:val="000000"/>
                <w:sz w:val="20"/>
                <w:szCs w:val="20"/>
              </w:rPr>
              <w:t xml:space="preserve">High</w:t>
            </w:r>
          </w:p>
        </w:tc>
      </w:tr>
      <w:tr>
        <w:tc>
          <w:tcPr>
            <w:tcW w:type="dxa" w:w="1200"/>
          </w:tcPr>
          <w:p>
            <w:r>
              <w:rPr>
                <w:b w:val="false"/>
                <w:bCs w:val="false"/>
                <w:color w:val="000000"/>
                <w:sz w:val="20"/>
                <w:szCs w:val="20"/>
              </w:rPr>
              <w:t xml:space="preserve">STK-02</w:t>
            </w:r>
          </w:p>
        </w:tc>
        <w:tc>
          <w:tcPr>
            <w:tcW w:type="dxa" w:w="2600"/>
          </w:tcPr>
          <w:p>
            <w:r>
              <w:rPr>
                <w:b w:val="false"/>
                <w:bCs w:val="false"/>
                <w:color w:val="000000"/>
                <w:sz w:val="20"/>
                <w:szCs w:val="20"/>
              </w:rPr>
              <w:t xml:space="preserve">Product Owner Persona</w:t>
            </w:r>
          </w:p>
        </w:tc>
        <w:tc>
          <w:tcPr>
            <w:tcW w:type="dxa" w:w="3600"/>
          </w:tcPr>
          <w:p>
            <w:r>
              <w:rPr>
                <w:b w:val="false"/>
                <w:bCs w:val="false"/>
                <w:color w:val="000000"/>
                <w:sz w:val="20"/>
                <w:szCs w:val="20"/>
              </w:rPr>
              <w:t xml:space="preserve">Owns backlog priority, represents the business voice</w:t>
            </w:r>
          </w:p>
        </w:tc>
        <w:tc>
          <w:tcPr>
            <w:tcW w:type="dxa" w:w="1300"/>
          </w:tcPr>
          <w:p>
            <w:r>
              <w:rPr>
                <w:b w:val="false"/>
                <w:bCs w:val="false"/>
                <w:color w:val="000000"/>
                <w:sz w:val="20"/>
                <w:szCs w:val="20"/>
              </w:rPr>
              <w:t xml:space="preserve">High</w:t>
            </w:r>
          </w:p>
        </w:tc>
        <w:tc>
          <w:tcPr>
            <w:tcW w:type="dxa" w:w="1300"/>
          </w:tcPr>
          <w:p>
            <w:r>
              <w:rPr>
                <w:b w:val="false"/>
                <w:bCs w:val="false"/>
                <w:color w:val="000000"/>
                <w:sz w:val="20"/>
                <w:szCs w:val="20"/>
              </w:rPr>
              <w:t xml:space="preserve">High</w:t>
            </w:r>
          </w:p>
        </w:tc>
      </w:tr>
      <w:tr>
        <w:tc>
          <w:tcPr>
            <w:tcW w:type="dxa" w:w="1200"/>
          </w:tcPr>
          <w:p>
            <w:r>
              <w:rPr>
                <w:b w:val="false"/>
                <w:bCs w:val="false"/>
                <w:color w:val="000000"/>
                <w:sz w:val="20"/>
                <w:szCs w:val="20"/>
              </w:rPr>
              <w:t xml:space="preserve">STK-03</w:t>
            </w:r>
          </w:p>
        </w:tc>
        <w:tc>
          <w:tcPr>
            <w:tcW w:type="dxa" w:w="2600"/>
          </w:tcPr>
          <w:p>
            <w:r>
              <w:rPr>
                <w:b w:val="false"/>
                <w:bCs w:val="false"/>
                <w:color w:val="000000"/>
                <w:sz w:val="20"/>
                <w:szCs w:val="20"/>
              </w:rPr>
              <w:t xml:space="preserve">Engineering Lead Persona</w:t>
            </w:r>
          </w:p>
        </w:tc>
        <w:tc>
          <w:tcPr>
            <w:tcW w:type="dxa" w:w="3600"/>
          </w:tcPr>
          <w:p>
            <w:r>
              <w:rPr>
                <w:b w:val="false"/>
                <w:bCs w:val="false"/>
                <w:color w:val="000000"/>
                <w:sz w:val="20"/>
                <w:szCs w:val="20"/>
              </w:rPr>
              <w:t xml:space="preserve">Represents the full-stack development team</w:t>
            </w:r>
          </w:p>
        </w:tc>
        <w:tc>
          <w:tcPr>
            <w:tcW w:type="dxa" w:w="1300"/>
          </w:tcPr>
          <w:p>
            <w:r>
              <w:rPr>
                <w:b w:val="false"/>
                <w:bCs w:val="false"/>
                <w:color w:val="000000"/>
                <w:sz w:val="20"/>
                <w:szCs w:val="20"/>
              </w:rPr>
              <w:t xml:space="preserve">High</w:t>
            </w:r>
          </w:p>
        </w:tc>
        <w:tc>
          <w:tcPr>
            <w:tcW w:type="dxa" w:w="1300"/>
          </w:tcPr>
          <w:p>
            <w:r>
              <w:rPr>
                <w:b w:val="false"/>
                <w:bCs w:val="false"/>
                <w:color w:val="000000"/>
                <w:sz w:val="20"/>
                <w:szCs w:val="20"/>
              </w:rPr>
              <w:t xml:space="preserve">Medium</w:t>
            </w:r>
          </w:p>
        </w:tc>
      </w:tr>
      <w:tr>
        <w:tc>
          <w:tcPr>
            <w:tcW w:type="dxa" w:w="1200"/>
          </w:tcPr>
          <w:p>
            <w:r>
              <w:rPr>
                <w:b w:val="false"/>
                <w:bCs w:val="false"/>
                <w:color w:val="000000"/>
                <w:sz w:val="20"/>
                <w:szCs w:val="20"/>
              </w:rPr>
              <w:t xml:space="preserve">STK-04</w:t>
            </w:r>
          </w:p>
        </w:tc>
        <w:tc>
          <w:tcPr>
            <w:tcW w:type="dxa" w:w="2600"/>
          </w:tcPr>
          <w:p>
            <w:r>
              <w:rPr>
                <w:b w:val="false"/>
                <w:bCs w:val="false"/>
                <w:color w:val="000000"/>
                <w:sz w:val="20"/>
                <w:szCs w:val="20"/>
              </w:rPr>
              <w:t xml:space="preserve">UX Lead Persona</w:t>
            </w:r>
          </w:p>
        </w:tc>
        <w:tc>
          <w:tcPr>
            <w:tcW w:type="dxa" w:w="3600"/>
          </w:tcPr>
          <w:p>
            <w:r>
              <w:rPr>
                <w:b w:val="false"/>
                <w:bCs w:val="false"/>
                <w:color w:val="000000"/>
                <w:sz w:val="20"/>
                <w:szCs w:val="20"/>
              </w:rPr>
              <w:t xml:space="preserve">Represents UI/UX design</w:t>
            </w:r>
          </w:p>
        </w:tc>
        <w:tc>
          <w:tcPr>
            <w:tcW w:type="dxa" w:w="1300"/>
          </w:tcPr>
          <w:p>
            <w:r>
              <w:rPr>
                <w:b w:val="false"/>
                <w:bCs w:val="false"/>
                <w:color w:val="000000"/>
                <w:sz w:val="20"/>
                <w:szCs w:val="20"/>
              </w:rPr>
              <w:t xml:space="preserve">High</w:t>
            </w:r>
          </w:p>
        </w:tc>
        <w:tc>
          <w:tcPr>
            <w:tcW w:type="dxa" w:w="1300"/>
          </w:tcPr>
          <w:p>
            <w:r>
              <w:rPr>
                <w:b w:val="false"/>
                <w:bCs w:val="false"/>
                <w:color w:val="000000"/>
                <w:sz w:val="20"/>
                <w:szCs w:val="20"/>
              </w:rPr>
              <w:t xml:space="preserve">Medium</w:t>
            </w:r>
          </w:p>
        </w:tc>
      </w:tr>
      <w:tr>
        <w:tc>
          <w:tcPr>
            <w:tcW w:type="dxa" w:w="1200"/>
          </w:tcPr>
          <w:p>
            <w:r>
              <w:rPr>
                <w:b w:val="false"/>
                <w:bCs w:val="false"/>
                <w:color w:val="000000"/>
                <w:sz w:val="20"/>
                <w:szCs w:val="20"/>
              </w:rPr>
              <w:t xml:space="preserve">STK-05</w:t>
            </w:r>
          </w:p>
        </w:tc>
        <w:tc>
          <w:tcPr>
            <w:tcW w:type="dxa" w:w="2600"/>
          </w:tcPr>
          <w:p>
            <w:r>
              <w:rPr>
                <w:b w:val="false"/>
                <w:bCs w:val="false"/>
                <w:color w:val="000000"/>
                <w:sz w:val="20"/>
                <w:szCs w:val="20"/>
              </w:rPr>
              <w:t xml:space="preserve">QA Lead Persona</w:t>
            </w:r>
          </w:p>
        </w:tc>
        <w:tc>
          <w:tcPr>
            <w:tcW w:type="dxa" w:w="3600"/>
          </w:tcPr>
          <w:p>
            <w:r>
              <w:rPr>
                <w:b w:val="false"/>
                <w:bCs w:val="false"/>
                <w:color w:val="000000"/>
                <w:sz w:val="20"/>
                <w:szCs w:val="20"/>
              </w:rPr>
              <w:t xml:space="preserve">Represents quality assurance</w:t>
            </w:r>
          </w:p>
        </w:tc>
        <w:tc>
          <w:tcPr>
            <w:tcW w:type="dxa" w:w="1300"/>
          </w:tcPr>
          <w:p>
            <w:r>
              <w:rPr>
                <w:b w:val="false"/>
                <w:bCs w:val="false"/>
                <w:color w:val="000000"/>
                <w:sz w:val="20"/>
                <w:szCs w:val="20"/>
              </w:rPr>
              <w:t xml:space="preserve">Medium</w:t>
            </w:r>
          </w:p>
        </w:tc>
        <w:tc>
          <w:tcPr>
            <w:tcW w:type="dxa" w:w="1300"/>
          </w:tcPr>
          <w:p>
            <w:r>
              <w:rPr>
                <w:b w:val="false"/>
                <w:bCs w:val="false"/>
                <w:color w:val="000000"/>
                <w:sz w:val="20"/>
                <w:szCs w:val="20"/>
              </w:rPr>
              <w:t xml:space="preserve">Medium</w:t>
            </w:r>
          </w:p>
        </w:tc>
      </w:tr>
      <w:tr>
        <w:tc>
          <w:tcPr>
            <w:tcW w:type="dxa" w:w="1200"/>
          </w:tcPr>
          <w:p>
            <w:r>
              <w:rPr>
                <w:b w:val="false"/>
                <w:bCs w:val="false"/>
                <w:color w:val="000000"/>
                <w:sz w:val="20"/>
                <w:szCs w:val="20"/>
              </w:rPr>
              <w:t xml:space="preserve">STK-06</w:t>
            </w:r>
          </w:p>
        </w:tc>
        <w:tc>
          <w:tcPr>
            <w:tcW w:type="dxa" w:w="2600"/>
          </w:tcPr>
          <w:p>
            <w:r>
              <w:rPr>
                <w:b w:val="false"/>
                <w:bCs w:val="false"/>
                <w:color w:val="000000"/>
                <w:sz w:val="20"/>
                <w:szCs w:val="20"/>
              </w:rPr>
              <w:t xml:space="preserve">Scrum Master Persona</w:t>
            </w:r>
          </w:p>
        </w:tc>
        <w:tc>
          <w:tcPr>
            <w:tcW w:type="dxa" w:w="3600"/>
          </w:tcPr>
          <w:p>
            <w:r>
              <w:rPr>
                <w:b w:val="false"/>
                <w:bCs w:val="false"/>
                <w:color w:val="000000"/>
                <w:sz w:val="20"/>
                <w:szCs w:val="20"/>
              </w:rPr>
              <w:t xml:space="preserve">Facilitates ceremonies, protects delivery cadence</w:t>
            </w:r>
          </w:p>
        </w:tc>
        <w:tc>
          <w:tcPr>
            <w:tcW w:type="dxa" w:w="1300"/>
          </w:tcPr>
          <w:p>
            <w:r>
              <w:rPr>
                <w:b w:val="false"/>
                <w:bCs w:val="false"/>
                <w:color w:val="000000"/>
                <w:sz w:val="20"/>
                <w:szCs w:val="20"/>
              </w:rPr>
              <w:t xml:space="preserve">Medium</w:t>
            </w:r>
          </w:p>
        </w:tc>
        <w:tc>
          <w:tcPr>
            <w:tcW w:type="dxa" w:w="1300"/>
          </w:tcPr>
          <w:p>
            <w:r>
              <w:rPr>
                <w:b w:val="false"/>
                <w:bCs w:val="false"/>
                <w:color w:val="000000"/>
                <w:sz w:val="20"/>
                <w:szCs w:val="20"/>
              </w:rPr>
              <w:t xml:space="preserve">Medium</w:t>
            </w:r>
          </w:p>
        </w:tc>
      </w:tr>
      <w:tr>
        <w:tc>
          <w:tcPr>
            <w:tcW w:type="dxa" w:w="1200"/>
          </w:tcPr>
          <w:p>
            <w:r/>
            <w:r>
              <w:rPr>
                <w:rFonts w:ascii="Arial" w:hAnsi="Arial"/>
                <w:sz w:val="20"/>
              </w:rPr>
              <w:t>STK-07</w:t>
            </w:r>
          </w:p>
        </w:tc>
        <w:tc>
          <w:tcPr>
            <w:tcW w:type="dxa" w:w="2600"/>
          </w:tcPr>
          <w:p>
            <w:r/>
            <w:r>
              <w:rPr>
                <w:rFonts w:ascii="Arial" w:hAnsi="Arial"/>
                <w:sz w:val="20"/>
              </w:rPr>
              <w:t>Gardener Persona (End User)</w:t>
            </w:r>
          </w:p>
        </w:tc>
        <w:tc>
          <w:tcPr>
            <w:tcW w:type="dxa" w:w="3600"/>
          </w:tcPr>
          <w:p>
            <w:r/>
            <w:r>
              <w:rPr>
                <w:rFonts w:ascii="Arial" w:hAnsi="Arial"/>
                <w:sz w:val="20"/>
              </w:rPr>
              <w:t>Represents home and community gardeners, the primary users of EcoGrow's Plant Library, Harvest Tracker, and Community Forum capabilities</w:t>
            </w:r>
          </w:p>
        </w:tc>
        <w:tc>
          <w:tcPr>
            <w:tcW w:type="dxa" w:w="1300"/>
          </w:tcPr>
          <w:p>
            <w:r/>
            <w:r>
              <w:rPr>
                <w:rFonts w:ascii="Arial" w:hAnsi="Arial"/>
                <w:sz w:val="20"/>
              </w:rPr>
              <w:t>High</w:t>
            </w:r>
          </w:p>
        </w:tc>
        <w:tc>
          <w:tcPr>
            <w:tcW w:type="dxa" w:w="1300"/>
          </w:tcPr>
          <w:p>
            <w:r/>
            <w:r>
              <w:rPr>
                <w:rFonts w:ascii="Arial" w:hAnsi="Arial"/>
                <w:sz w:val="20"/>
              </w:rPr>
              <w:t>Low</w:t>
            </w:r>
          </w:p>
        </w:tc>
      </w:tr>
      <w:tr>
        <w:tc>
          <w:tcPr>
            <w:tcW w:type="dxa" w:w="1200"/>
          </w:tcPr>
          <w:p>
            <w:r/>
            <w:r>
              <w:rPr>
                <w:rFonts w:ascii="Arial" w:hAnsi="Arial"/>
                <w:sz w:val="20"/>
              </w:rPr>
              <w:t>STK-08</w:t>
            </w:r>
          </w:p>
        </w:tc>
        <w:tc>
          <w:tcPr>
            <w:tcW w:type="dxa" w:w="2600"/>
          </w:tcPr>
          <w:p>
            <w:r/>
            <w:r>
              <w:rPr>
                <w:rFonts w:ascii="Arial" w:hAnsi="Arial"/>
                <w:sz w:val="20"/>
              </w:rPr>
              <w:t>Support Persona</w:t>
            </w:r>
          </w:p>
        </w:tc>
        <w:tc>
          <w:tcPr>
            <w:tcW w:type="dxa" w:w="3600"/>
          </w:tcPr>
          <w:p>
            <w:r/>
            <w:r>
              <w:rPr>
                <w:rFonts w:ascii="Arial" w:hAnsi="Arial"/>
                <w:sz w:val="20"/>
              </w:rPr>
              <w:t>Supports users experiencing issues with EcoGrow once the product is operational</w:t>
            </w:r>
          </w:p>
        </w:tc>
        <w:tc>
          <w:tcPr>
            <w:tcW w:type="dxa" w:w="1300"/>
          </w:tcPr>
          <w:p>
            <w:r/>
            <w:r>
              <w:rPr>
                <w:rFonts w:ascii="Arial" w:hAnsi="Arial"/>
                <w:sz w:val="20"/>
              </w:rPr>
              <w:t>Medium</w:t>
            </w:r>
          </w:p>
        </w:tc>
        <w:tc>
          <w:tcPr>
            <w:tcW w:type="dxa" w:w="1300"/>
          </w:tcPr>
          <w:p>
            <w:r/>
            <w:r>
              <w:rPr>
                <w:rFonts w:ascii="Arial" w:hAnsi="Arial"/>
                <w:sz w:val="20"/>
              </w:rPr>
              <w:t>Low</w:t>
            </w:r>
          </w:p>
        </w:tc>
      </w:tr>
    </w:tbl>
    <w:p>
      <w:pPr>
        <w:pStyle w:val="Heading1"/>
        <w:spacing w:after="200" w:before="400"/>
      </w:pPr>
      <w:r>
        <w:t xml:space="preserve">1.6 Power-Interest Analysis</w:t>
      </w:r>
    </w:p>
    <w:p>
      <w:pPr>
        <w:spacing w:after="160"/>
      </w:pPr>
      <w:r>
        <w:t xml:space="preserve">Plotting the register above against a standard power-interest grid places the Product Sponsor and Product Owner personas in the manage-closely quadrant, given their combination of high interest and high decision authority.</w:t>
      </w:r>
    </w:p>
    <w:p>
      <w:pPr>
        <w:spacing w:after="160"/>
      </w:pPr>
      <w:r>
        <w:t xml:space="preserve">The Engineering Lead and UX Lead personas sit in keep-satisfied, high interest in outcomes but delivery authority rather than governance authority. The QA Lead and Scrum Master personas sit in keep-informed, essential to execution but not primary decision owners for scope or direction.</w:t>
      </w:r>
    </w:p>
    <w:p>
      <w:pPr>
        <w:spacing w:after="160"/>
      </w:pPr>
      <w:r/>
      <w:r>
        <w:rPr>
          <w:rFonts w:ascii="Arial" w:hAnsi="Arial"/>
          <w:sz w:val="22"/>
        </w:rPr>
        <w:t>I added two personas the register was missing on review: the Gardener, EcoGrow's actual end user, and Support, the persona supporting users through live issues once the product is operational. The Gardener sits in keep-informed, high interest since it's their product, low formal power since they don't control scope, priority, or budget the way the internal delivery team does.</w:t>
      </w:r>
    </w:p>
    <w:p>
      <w:pPr>
        <w:spacing w:after="160"/>
      </w:pPr>
      <w:r>
        <w:rPr>
          <w:rFonts w:ascii="Arial" w:hAnsi="Arial"/>
          <w:sz w:val="22"/>
        </w:rPr>
        <w:t>Support sits in the same quadrant with lighter interest for now, since there's nothing operational yet to support. Both were genuine gaps, not additions for completeness, a register that never names the person the product is actually for is a real weakness, not a stylistic one.</w:t>
      </w:r>
    </w:p>
    <w:p>
      <w:pPr>
        <w:spacing w:after="160"/>
      </w:pPr>
      <w:r>
        <w:rPr>
          <w:rFonts w:ascii="Arial" w:hAnsi="Arial"/>
          <w:sz w:val="22"/>
        </w:rPr>
        <w:t>I traced this addition directly to GreenSphere's stated mission of using technology for environmental stewardship, and to its Community First and Empowerment Through Simplicity values. Those values point to the Gardener as the person EcoGrow exists to serve, and to Support as the function that sustains that service once the product is live, not as a category added for register completeness.</w:t>
      </w:r>
    </w:p>
    <w:p>
      <w:pPr>
        <w:pStyle w:val="Heading1"/>
        <w:spacing w:after="200" w:before="400"/>
      </w:pPr>
      <w:r>
        <w:t xml:space="preserve">1.7 RACI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300"/>
        <w:gridCol w:w="1000"/>
        <w:gridCol w:w="1000"/>
        <w:gridCol w:w="1000"/>
        <w:gridCol w:w="1100"/>
        <w:gridCol w:w="1296"/>
        <w:gridCol w:w="1296"/>
      </w:tblGrid>
      <w:tr>
        <w:tc>
          <w:tcPr>
            <w:tcW w:type="dxa" w:w="2600"/>
            <w:shd w:fill="0E7C7B" w:val="clear"/>
          </w:tcPr>
          <w:p>
            <w:r>
              <w:rPr>
                <w:b/>
                <w:bCs/>
                <w:color w:val="FFFFFF"/>
                <w:sz w:val="20"/>
                <w:szCs w:val="20"/>
              </w:rPr>
              <w:t xml:space="preserve">Activity</w:t>
            </w:r>
          </w:p>
        </w:tc>
        <w:tc>
          <w:tcPr>
            <w:tcW w:type="dxa" w:w="1000"/>
            <w:shd w:fill="0E7C7B" w:val="clear"/>
          </w:tcPr>
          <w:p>
            <w:r>
              <w:rPr>
                <w:b/>
                <w:bCs/>
                <w:color w:val="FFFFFF"/>
                <w:sz w:val="20"/>
                <w:szCs w:val="20"/>
              </w:rPr>
              <w:t xml:space="preserve">Sponsor</w:t>
            </w:r>
          </w:p>
        </w:tc>
        <w:tc>
          <w:tcPr>
            <w:tcW w:type="dxa" w:w="1300"/>
            <w:shd w:fill="0E7C7B" w:val="clear"/>
          </w:tcPr>
          <w:p>
            <w:r>
              <w:rPr>
                <w:b/>
                <w:bCs/>
                <w:color w:val="FFFFFF"/>
                <w:sz w:val="20"/>
                <w:szCs w:val="20"/>
              </w:rPr>
              <w:t xml:space="preserve">Product Owner</w:t>
            </w:r>
          </w:p>
        </w:tc>
        <w:tc>
          <w:tcPr>
            <w:tcW w:type="dxa" w:w="1000"/>
            <w:shd w:fill="0E7C7B" w:val="clear"/>
          </w:tcPr>
          <w:p>
            <w:r>
              <w:rPr>
                <w:b/>
                <w:bCs/>
                <w:color w:val="FFFFFF"/>
                <w:sz w:val="20"/>
                <w:szCs w:val="20"/>
              </w:rPr>
              <w:t xml:space="preserve">Eng Lead</w:t>
            </w:r>
          </w:p>
        </w:tc>
        <w:tc>
          <w:tcPr>
            <w:tcW w:type="dxa" w:w="1000"/>
            <w:shd w:fill="0E7C7B" w:val="clear"/>
          </w:tcPr>
          <w:p>
            <w:r>
              <w:rPr>
                <w:b/>
                <w:bCs/>
                <w:color w:val="FFFFFF"/>
                <w:sz w:val="20"/>
                <w:szCs w:val="20"/>
              </w:rPr>
              <w:t xml:space="preserve">UX Lead</w:t>
            </w:r>
          </w:p>
        </w:tc>
        <w:tc>
          <w:tcPr>
            <w:tcW w:type="dxa" w:w="1000"/>
            <w:shd w:fill="0E7C7B" w:val="clear"/>
          </w:tcPr>
          <w:p>
            <w:r>
              <w:rPr>
                <w:b/>
                <w:bCs/>
                <w:color w:val="FFFFFF"/>
                <w:sz w:val="20"/>
                <w:szCs w:val="20"/>
              </w:rPr>
              <w:t xml:space="preserve">QA Lead</w:t>
            </w:r>
          </w:p>
        </w:tc>
        <w:tc>
          <w:tcPr>
            <w:tcW w:type="dxa" w:w="1100"/>
            <w:shd w:fill="0E7C7B" w:val="clear"/>
          </w:tcPr>
          <w:p>
            <w:r>
              <w:rPr>
                <w:b/>
                <w:bCs/>
                <w:color w:val="FFFFFF"/>
                <w:sz w:val="20"/>
                <w:szCs w:val="20"/>
              </w:rPr>
              <w:t xml:space="preserve">Scrum Master</w:t>
            </w:r>
          </w:p>
        </w:tc>
        <w:tc>
          <w:tcPr>
            <w:tcW w:type="dxa" w:w="1296"/>
          </w:tcPr>
          <w:p>
            <w:r/>
            <w:r>
              <w:rPr>
                <w:rFonts w:ascii="Arial" w:hAnsi="Arial"/>
                <w:b/>
                <w:sz w:val="20"/>
              </w:rPr>
              <w:t>Gardener</w:t>
            </w:r>
          </w:p>
        </w:tc>
        <w:tc>
          <w:tcPr>
            <w:tcW w:type="dxa" w:w="1296"/>
          </w:tcPr>
          <w:p>
            <w:r/>
            <w:r>
              <w:rPr>
                <w:rFonts w:ascii="Arial" w:hAnsi="Arial"/>
                <w:b/>
                <w:sz w:val="20"/>
              </w:rPr>
              <w:t>Support</w:t>
            </w:r>
          </w:p>
        </w:tc>
      </w:tr>
      <w:tr>
        <w:tc>
          <w:tcPr>
            <w:tcW w:type="dxa" w:w="2600"/>
          </w:tcPr>
          <w:p>
            <w:r>
              <w:rPr>
                <w:b w:val="false"/>
                <w:bCs w:val="false"/>
                <w:color w:val="000000"/>
                <w:sz w:val="20"/>
                <w:szCs w:val="20"/>
              </w:rPr>
              <w:t xml:space="preserve">Define business objectives</w:t>
            </w:r>
          </w:p>
        </w:tc>
        <w:tc>
          <w:tcPr>
            <w:tcW w:type="dxa" w:w="1000"/>
          </w:tcPr>
          <w:p>
            <w:r>
              <w:rPr>
                <w:b w:val="false"/>
                <w:bCs w:val="false"/>
                <w:color w:val="000000"/>
                <w:sz w:val="20"/>
                <w:szCs w:val="20"/>
              </w:rPr>
              <w:t xml:space="preserve">A</w:t>
            </w:r>
          </w:p>
        </w:tc>
        <w:tc>
          <w:tcPr>
            <w:tcW w:type="dxa" w:w="1300"/>
          </w:tcPr>
          <w:p>
            <w:r>
              <w:rPr>
                <w:b w:val="false"/>
                <w:bCs w:val="false"/>
                <w:color w:val="000000"/>
                <w:sz w:val="20"/>
                <w:szCs w:val="20"/>
              </w:rPr>
              <w:t xml:space="preserve">R</w:t>
            </w:r>
          </w:p>
        </w:tc>
        <w:tc>
          <w:tcPr>
            <w:tcW w:type="dxa" w:w="1000"/>
          </w:tcPr>
          <w:p>
            <w:r>
              <w:rPr>
                <w:b w:val="false"/>
                <w:bCs w:val="false"/>
                <w:color w:val="000000"/>
                <w:sz w:val="20"/>
                <w:szCs w:val="20"/>
              </w:rPr>
              <w:t xml:space="preserve">C</w:t>
            </w:r>
          </w:p>
        </w:tc>
        <w:tc>
          <w:tcPr>
            <w:tcW w:type="dxa" w:w="1000"/>
          </w:tcPr>
          <w:p>
            <w:r>
              <w:rPr>
                <w:b w:val="false"/>
                <w:bCs w:val="false"/>
                <w:color w:val="000000"/>
                <w:sz w:val="20"/>
                <w:szCs w:val="20"/>
              </w:rPr>
              <w:t xml:space="preserve">C</w:t>
            </w:r>
          </w:p>
        </w:tc>
        <w:tc>
          <w:tcPr>
            <w:tcW w:type="dxa" w:w="1000"/>
          </w:tcPr>
          <w:p>
            <w:r>
              <w:rPr>
                <w:b w:val="false"/>
                <w:bCs w:val="false"/>
                <w:color w:val="000000"/>
                <w:sz w:val="20"/>
                <w:szCs w:val="20"/>
              </w:rPr>
              <w:t xml:space="preserve">I</w:t>
            </w:r>
          </w:p>
        </w:tc>
        <w:tc>
          <w:tcPr>
            <w:tcW w:type="dxa" w:w="1100"/>
          </w:tcPr>
          <w:p>
            <w:r>
              <w:rPr>
                <w:b w:val="false"/>
                <w:bCs w:val="false"/>
                <w:color w:val="000000"/>
                <w:sz w:val="20"/>
                <w:szCs w:val="20"/>
              </w:rPr>
              <w:t xml:space="preserve">I</w:t>
            </w:r>
          </w:p>
        </w:tc>
        <w:tc>
          <w:tcPr>
            <w:tcW w:type="dxa" w:w="1296"/>
          </w:tcPr>
          <w:p>
            <w:r/>
            <w:r>
              <w:rPr>
                <w:rFonts w:ascii="Arial" w:hAnsi="Arial"/>
                <w:sz w:val="20"/>
              </w:rPr>
              <w:t>I</w:t>
            </w:r>
          </w:p>
        </w:tc>
        <w:tc>
          <w:tcPr>
            <w:tcW w:type="dxa" w:w="1296"/>
          </w:tcPr>
          <w:p>
            <w:r/>
            <w:r>
              <w:rPr>
                <w:rFonts w:ascii="Arial" w:hAnsi="Arial"/>
                <w:sz w:val="20"/>
              </w:rPr>
              <w:t>I</w:t>
            </w:r>
          </w:p>
        </w:tc>
      </w:tr>
      <w:tr>
        <w:tc>
          <w:tcPr>
            <w:tcW w:type="dxa" w:w="2600"/>
          </w:tcPr>
          <w:p>
            <w:r>
              <w:rPr>
                <w:b w:val="false"/>
                <w:bCs w:val="false"/>
                <w:color w:val="000000"/>
                <w:sz w:val="20"/>
                <w:szCs w:val="20"/>
              </w:rPr>
              <w:t xml:space="preserve">Approve requirements baseline</w:t>
            </w:r>
          </w:p>
        </w:tc>
        <w:tc>
          <w:tcPr>
            <w:tcW w:type="dxa" w:w="1000"/>
          </w:tcPr>
          <w:p>
            <w:r>
              <w:rPr>
                <w:b w:val="false"/>
                <w:bCs w:val="false"/>
                <w:color w:val="000000"/>
                <w:sz w:val="20"/>
                <w:szCs w:val="20"/>
              </w:rPr>
              <w:t xml:space="preserve">A</w:t>
            </w:r>
          </w:p>
        </w:tc>
        <w:tc>
          <w:tcPr>
            <w:tcW w:type="dxa" w:w="1300"/>
          </w:tcPr>
          <w:p>
            <w:r>
              <w:rPr>
                <w:b w:val="false"/>
                <w:bCs w:val="false"/>
                <w:color w:val="000000"/>
                <w:sz w:val="20"/>
                <w:szCs w:val="20"/>
              </w:rPr>
              <w:t xml:space="preserve">R</w:t>
            </w:r>
          </w:p>
        </w:tc>
        <w:tc>
          <w:tcPr>
            <w:tcW w:type="dxa" w:w="1000"/>
          </w:tcPr>
          <w:p>
            <w:r>
              <w:rPr>
                <w:b w:val="false"/>
                <w:bCs w:val="false"/>
                <w:color w:val="000000"/>
                <w:sz w:val="20"/>
                <w:szCs w:val="20"/>
              </w:rPr>
              <w:t xml:space="preserve">C</w:t>
            </w:r>
          </w:p>
        </w:tc>
        <w:tc>
          <w:tcPr>
            <w:tcW w:type="dxa" w:w="1000"/>
          </w:tcPr>
          <w:p>
            <w:r>
              <w:rPr>
                <w:b w:val="false"/>
                <w:bCs w:val="false"/>
                <w:color w:val="000000"/>
                <w:sz w:val="20"/>
                <w:szCs w:val="20"/>
              </w:rPr>
              <w:t xml:space="preserve">C</w:t>
            </w:r>
          </w:p>
        </w:tc>
        <w:tc>
          <w:tcPr>
            <w:tcW w:type="dxa" w:w="1000"/>
          </w:tcPr>
          <w:p>
            <w:r>
              <w:rPr>
                <w:b w:val="false"/>
                <w:bCs w:val="false"/>
                <w:color w:val="000000"/>
                <w:sz w:val="20"/>
                <w:szCs w:val="20"/>
              </w:rPr>
              <w:t xml:space="preserve">C</w:t>
            </w:r>
          </w:p>
        </w:tc>
        <w:tc>
          <w:tcPr>
            <w:tcW w:type="dxa" w:w="1100"/>
          </w:tcPr>
          <w:p>
            <w:r>
              <w:rPr>
                <w:b w:val="false"/>
                <w:bCs w:val="false"/>
                <w:color w:val="000000"/>
                <w:sz w:val="20"/>
                <w:szCs w:val="20"/>
              </w:rPr>
              <w:t xml:space="preserve">I</w:t>
            </w:r>
          </w:p>
        </w:tc>
        <w:tc>
          <w:tcPr>
            <w:tcW w:type="dxa" w:w="1296"/>
          </w:tcPr>
          <w:p>
            <w:r/>
            <w:r>
              <w:rPr>
                <w:rFonts w:ascii="Arial" w:hAnsi="Arial"/>
                <w:sz w:val="20"/>
              </w:rPr>
              <w:t>I</w:t>
            </w:r>
          </w:p>
        </w:tc>
        <w:tc>
          <w:tcPr>
            <w:tcW w:type="dxa" w:w="1296"/>
          </w:tcPr>
          <w:p>
            <w:r/>
            <w:r>
              <w:rPr>
                <w:rFonts w:ascii="Arial" w:hAnsi="Arial"/>
                <w:sz w:val="20"/>
              </w:rPr>
              <w:t>I</w:t>
            </w:r>
          </w:p>
        </w:tc>
      </w:tr>
      <w:tr>
        <w:tc>
          <w:tcPr>
            <w:tcW w:type="dxa" w:w="2600"/>
          </w:tcPr>
          <w:p>
            <w:r>
              <w:rPr>
                <w:b w:val="false"/>
                <w:bCs w:val="false"/>
                <w:color w:val="000000"/>
                <w:sz w:val="20"/>
                <w:szCs w:val="20"/>
              </w:rPr>
              <w:t xml:space="preserve">Prioritise backlog</w:t>
            </w:r>
          </w:p>
        </w:tc>
        <w:tc>
          <w:tcPr>
            <w:tcW w:type="dxa" w:w="1000"/>
          </w:tcPr>
          <w:p>
            <w:r>
              <w:rPr>
                <w:b w:val="false"/>
                <w:bCs w:val="false"/>
                <w:color w:val="000000"/>
                <w:sz w:val="20"/>
                <w:szCs w:val="20"/>
              </w:rPr>
              <w:t xml:space="preserve">I</w:t>
            </w:r>
          </w:p>
        </w:tc>
        <w:tc>
          <w:tcPr>
            <w:tcW w:type="dxa" w:w="1300"/>
          </w:tcPr>
          <w:p>
            <w:r>
              <w:rPr>
                <w:b w:val="false"/>
                <w:bCs w:val="false"/>
                <w:color w:val="000000"/>
                <w:sz w:val="20"/>
                <w:szCs w:val="20"/>
              </w:rPr>
              <w:t xml:space="preserve">A/R</w:t>
            </w:r>
          </w:p>
        </w:tc>
        <w:tc>
          <w:tcPr>
            <w:tcW w:type="dxa" w:w="1000"/>
          </w:tcPr>
          <w:p>
            <w:r>
              <w:rPr>
                <w:b w:val="false"/>
                <w:bCs w:val="false"/>
                <w:color w:val="000000"/>
                <w:sz w:val="20"/>
                <w:szCs w:val="20"/>
              </w:rPr>
              <w:t xml:space="preserve">C</w:t>
            </w:r>
          </w:p>
        </w:tc>
        <w:tc>
          <w:tcPr>
            <w:tcW w:type="dxa" w:w="1000"/>
          </w:tcPr>
          <w:p>
            <w:r>
              <w:rPr>
                <w:b w:val="false"/>
                <w:bCs w:val="false"/>
                <w:color w:val="000000"/>
                <w:sz w:val="20"/>
                <w:szCs w:val="20"/>
              </w:rPr>
              <w:t xml:space="preserve">C</w:t>
            </w:r>
          </w:p>
        </w:tc>
        <w:tc>
          <w:tcPr>
            <w:tcW w:type="dxa" w:w="1000"/>
          </w:tcPr>
          <w:p>
            <w:r>
              <w:rPr>
                <w:b w:val="false"/>
                <w:bCs w:val="false"/>
                <w:color w:val="000000"/>
                <w:sz w:val="20"/>
                <w:szCs w:val="20"/>
              </w:rPr>
              <w:t xml:space="preserve">I</w:t>
            </w:r>
          </w:p>
        </w:tc>
        <w:tc>
          <w:tcPr>
            <w:tcW w:type="dxa" w:w="1100"/>
          </w:tcPr>
          <w:p>
            <w:r>
              <w:rPr>
                <w:b w:val="false"/>
                <w:bCs w:val="false"/>
                <w:color w:val="000000"/>
                <w:sz w:val="20"/>
                <w:szCs w:val="20"/>
              </w:rPr>
              <w:t xml:space="preserve">I</w:t>
            </w:r>
          </w:p>
        </w:tc>
        <w:tc>
          <w:tcPr>
            <w:tcW w:type="dxa" w:w="1296"/>
          </w:tcPr>
          <w:p>
            <w:r/>
            <w:r>
              <w:rPr>
                <w:rFonts w:ascii="Arial" w:hAnsi="Arial"/>
                <w:sz w:val="20"/>
              </w:rPr>
              <w:t>I</w:t>
            </w:r>
          </w:p>
        </w:tc>
        <w:tc>
          <w:tcPr>
            <w:tcW w:type="dxa" w:w="1296"/>
          </w:tcPr>
          <w:p>
            <w:r/>
            <w:r>
              <w:rPr>
                <w:rFonts w:ascii="Arial" w:hAnsi="Arial"/>
                <w:sz w:val="20"/>
              </w:rPr>
              <w:t>I</w:t>
            </w:r>
          </w:p>
        </w:tc>
      </w:tr>
      <w:tr>
        <w:tc>
          <w:tcPr>
            <w:tcW w:type="dxa" w:w="2600"/>
          </w:tcPr>
          <w:p>
            <w:r>
              <w:rPr>
                <w:b w:val="false"/>
                <w:bCs w:val="false"/>
                <w:color w:val="000000"/>
                <w:sz w:val="20"/>
                <w:szCs w:val="20"/>
              </w:rPr>
              <w:t xml:space="preserve">Sprint planning</w:t>
            </w:r>
          </w:p>
        </w:tc>
        <w:tc>
          <w:tcPr>
            <w:tcW w:type="dxa" w:w="1000"/>
          </w:tcPr>
          <w:p>
            <w:r>
              <w:rPr>
                <w:b w:val="false"/>
                <w:bCs w:val="false"/>
                <w:color w:val="000000"/>
                <w:sz w:val="20"/>
                <w:szCs w:val="20"/>
              </w:rPr>
              <w:t xml:space="preserve">I</w:t>
            </w:r>
          </w:p>
        </w:tc>
        <w:tc>
          <w:tcPr>
            <w:tcW w:type="dxa" w:w="1300"/>
          </w:tcPr>
          <w:p>
            <w:r>
              <w:rPr>
                <w:b w:val="false"/>
                <w:bCs w:val="false"/>
                <w:color w:val="000000"/>
                <w:sz w:val="20"/>
                <w:szCs w:val="20"/>
              </w:rPr>
              <w:t xml:space="preserve">C</w:t>
            </w:r>
          </w:p>
        </w:tc>
        <w:tc>
          <w:tcPr>
            <w:tcW w:type="dxa" w:w="1000"/>
          </w:tcPr>
          <w:p>
            <w:r>
              <w:rPr>
                <w:b w:val="false"/>
                <w:bCs w:val="false"/>
                <w:color w:val="000000"/>
                <w:sz w:val="20"/>
                <w:szCs w:val="20"/>
              </w:rPr>
              <w:t xml:space="preserve">R</w:t>
            </w:r>
          </w:p>
        </w:tc>
        <w:tc>
          <w:tcPr>
            <w:tcW w:type="dxa" w:w="1000"/>
          </w:tcPr>
          <w:p>
            <w:r>
              <w:rPr>
                <w:b w:val="false"/>
                <w:bCs w:val="false"/>
                <w:color w:val="000000"/>
                <w:sz w:val="20"/>
                <w:szCs w:val="20"/>
              </w:rPr>
              <w:t xml:space="preserve">R</w:t>
            </w:r>
          </w:p>
        </w:tc>
        <w:tc>
          <w:tcPr>
            <w:tcW w:type="dxa" w:w="1000"/>
          </w:tcPr>
          <w:p>
            <w:r>
              <w:rPr>
                <w:b w:val="false"/>
                <w:bCs w:val="false"/>
                <w:color w:val="000000"/>
                <w:sz w:val="20"/>
                <w:szCs w:val="20"/>
              </w:rPr>
              <w:t xml:space="preserve">C</w:t>
            </w:r>
          </w:p>
        </w:tc>
        <w:tc>
          <w:tcPr>
            <w:tcW w:type="dxa" w:w="1100"/>
          </w:tcPr>
          <w:p>
            <w:r>
              <w:rPr>
                <w:b w:val="false"/>
                <w:bCs w:val="false"/>
                <w:color w:val="000000"/>
                <w:sz w:val="20"/>
                <w:szCs w:val="20"/>
              </w:rPr>
              <w:t xml:space="preserve">A</w:t>
            </w:r>
          </w:p>
        </w:tc>
        <w:tc>
          <w:tcPr>
            <w:tcW w:type="dxa" w:w="1296"/>
          </w:tcPr>
          <w:p>
            <w:r/>
            <w:r>
              <w:rPr>
                <w:rFonts w:ascii="Arial" w:hAnsi="Arial"/>
                <w:sz w:val="20"/>
              </w:rPr>
            </w:r>
          </w:p>
        </w:tc>
        <w:tc>
          <w:tcPr>
            <w:tcW w:type="dxa" w:w="1296"/>
          </w:tcPr>
          <w:p>
            <w:r/>
            <w:r>
              <w:rPr>
                <w:rFonts w:ascii="Arial" w:hAnsi="Arial"/>
                <w:sz w:val="20"/>
              </w:rPr>
            </w:r>
          </w:p>
        </w:tc>
      </w:tr>
      <w:tr>
        <w:tc>
          <w:tcPr>
            <w:tcW w:type="dxa" w:w="2600"/>
          </w:tcPr>
          <w:p>
            <w:r>
              <w:rPr>
                <w:b w:val="false"/>
                <w:bCs w:val="false"/>
                <w:color w:val="000000"/>
                <w:sz w:val="20"/>
                <w:szCs w:val="20"/>
              </w:rPr>
              <w:t xml:space="preserve">Sprint review sign-off</w:t>
            </w:r>
          </w:p>
        </w:tc>
        <w:tc>
          <w:tcPr>
            <w:tcW w:type="dxa" w:w="1000"/>
          </w:tcPr>
          <w:p>
            <w:r>
              <w:rPr>
                <w:b w:val="false"/>
                <w:bCs w:val="false"/>
                <w:color w:val="000000"/>
                <w:sz w:val="20"/>
                <w:szCs w:val="20"/>
              </w:rPr>
              <w:t xml:space="preserve">C</w:t>
            </w:r>
          </w:p>
        </w:tc>
        <w:tc>
          <w:tcPr>
            <w:tcW w:type="dxa" w:w="1300"/>
          </w:tcPr>
          <w:p>
            <w:r>
              <w:rPr>
                <w:b w:val="false"/>
                <w:bCs w:val="false"/>
                <w:color w:val="000000"/>
                <w:sz w:val="20"/>
                <w:szCs w:val="20"/>
              </w:rPr>
              <w:t xml:space="preserve">A</w:t>
            </w:r>
          </w:p>
        </w:tc>
        <w:tc>
          <w:tcPr>
            <w:tcW w:type="dxa" w:w="1000"/>
          </w:tcPr>
          <w:p>
            <w:r>
              <w:rPr>
                <w:b w:val="false"/>
                <w:bCs w:val="false"/>
                <w:color w:val="000000"/>
                <w:sz w:val="20"/>
                <w:szCs w:val="20"/>
              </w:rPr>
              <w:t xml:space="preserve">R</w:t>
            </w:r>
          </w:p>
        </w:tc>
        <w:tc>
          <w:tcPr>
            <w:tcW w:type="dxa" w:w="1000"/>
          </w:tcPr>
          <w:p>
            <w:r>
              <w:rPr>
                <w:b w:val="false"/>
                <w:bCs w:val="false"/>
                <w:color w:val="000000"/>
                <w:sz w:val="20"/>
                <w:szCs w:val="20"/>
              </w:rPr>
              <w:t xml:space="preserve">R</w:t>
            </w:r>
          </w:p>
        </w:tc>
        <w:tc>
          <w:tcPr>
            <w:tcW w:type="dxa" w:w="1000"/>
          </w:tcPr>
          <w:p>
            <w:r>
              <w:rPr>
                <w:b w:val="false"/>
                <w:bCs w:val="false"/>
                <w:color w:val="000000"/>
                <w:sz w:val="20"/>
                <w:szCs w:val="20"/>
              </w:rPr>
              <w:t xml:space="preserve">R</w:t>
            </w:r>
          </w:p>
        </w:tc>
        <w:tc>
          <w:tcPr>
            <w:tcW w:type="dxa" w:w="1100"/>
          </w:tcPr>
          <w:p>
            <w:r>
              <w:rPr>
                <w:b w:val="false"/>
                <w:bCs w:val="false"/>
                <w:color w:val="000000"/>
                <w:sz w:val="20"/>
                <w:szCs w:val="20"/>
              </w:rPr>
              <w:t xml:space="preserve">I</w:t>
            </w:r>
          </w:p>
        </w:tc>
        <w:tc>
          <w:tcPr>
            <w:tcW w:type="dxa" w:w="1296"/>
          </w:tcPr>
          <w:p>
            <w:r/>
            <w:r>
              <w:rPr>
                <w:rFonts w:ascii="Arial" w:hAnsi="Arial"/>
                <w:sz w:val="20"/>
              </w:rPr>
              <w:t>I</w:t>
            </w:r>
          </w:p>
        </w:tc>
        <w:tc>
          <w:tcPr>
            <w:tcW w:type="dxa" w:w="1296"/>
          </w:tcPr>
          <w:p>
            <w:r/>
            <w:r>
              <w:rPr>
                <w:rFonts w:ascii="Arial" w:hAnsi="Arial"/>
                <w:sz w:val="20"/>
              </w:rPr>
              <w:t>C</w:t>
            </w:r>
          </w:p>
        </w:tc>
      </w:tr>
      <w:tr>
        <w:tc>
          <w:tcPr>
            <w:tcW w:type="dxa" w:w="2600"/>
          </w:tcPr>
          <w:p>
            <w:r>
              <w:rPr>
                <w:b w:val="false"/>
                <w:bCs w:val="false"/>
                <w:color w:val="000000"/>
                <w:sz w:val="20"/>
                <w:szCs w:val="20"/>
              </w:rPr>
              <w:t xml:space="preserve">Go/No-Go decision</w:t>
            </w:r>
          </w:p>
        </w:tc>
        <w:tc>
          <w:tcPr>
            <w:tcW w:type="dxa" w:w="1000"/>
          </w:tcPr>
          <w:p>
            <w:r>
              <w:rPr>
                <w:b w:val="false"/>
                <w:bCs w:val="false"/>
                <w:color w:val="000000"/>
                <w:sz w:val="20"/>
                <w:szCs w:val="20"/>
              </w:rPr>
              <w:t xml:space="preserve">A</w:t>
            </w:r>
          </w:p>
        </w:tc>
        <w:tc>
          <w:tcPr>
            <w:tcW w:type="dxa" w:w="1300"/>
          </w:tcPr>
          <w:p>
            <w:r>
              <w:rPr>
                <w:b w:val="false"/>
                <w:bCs w:val="false"/>
                <w:color w:val="000000"/>
                <w:sz w:val="20"/>
                <w:szCs w:val="20"/>
              </w:rPr>
              <w:t xml:space="preserve">R</w:t>
            </w:r>
          </w:p>
        </w:tc>
        <w:tc>
          <w:tcPr>
            <w:tcW w:type="dxa" w:w="1000"/>
          </w:tcPr>
          <w:p>
            <w:r>
              <w:rPr>
                <w:b w:val="false"/>
                <w:bCs w:val="false"/>
                <w:color w:val="000000"/>
                <w:sz w:val="20"/>
                <w:szCs w:val="20"/>
              </w:rPr>
              <w:t xml:space="preserve">C</w:t>
            </w:r>
          </w:p>
        </w:tc>
        <w:tc>
          <w:tcPr>
            <w:tcW w:type="dxa" w:w="1000"/>
          </w:tcPr>
          <w:p>
            <w:r>
              <w:rPr>
                <w:b w:val="false"/>
                <w:bCs w:val="false"/>
                <w:color w:val="000000"/>
                <w:sz w:val="20"/>
                <w:szCs w:val="20"/>
              </w:rPr>
              <w:t xml:space="preserve">C</w:t>
            </w:r>
          </w:p>
        </w:tc>
        <w:tc>
          <w:tcPr>
            <w:tcW w:type="dxa" w:w="1000"/>
          </w:tcPr>
          <w:p>
            <w:r>
              <w:rPr>
                <w:b w:val="false"/>
                <w:bCs w:val="false"/>
                <w:color w:val="000000"/>
                <w:sz w:val="20"/>
                <w:szCs w:val="20"/>
              </w:rPr>
              <w:t xml:space="preserve">C</w:t>
            </w:r>
          </w:p>
        </w:tc>
        <w:tc>
          <w:tcPr>
            <w:tcW w:type="dxa" w:w="1100"/>
          </w:tcPr>
          <w:p>
            <w:r>
              <w:rPr>
                <w:b w:val="false"/>
                <w:bCs w:val="false"/>
                <w:color w:val="000000"/>
                <w:sz w:val="20"/>
                <w:szCs w:val="20"/>
              </w:rPr>
              <w:t xml:space="preserve">I</w:t>
            </w:r>
          </w:p>
        </w:tc>
        <w:tc>
          <w:tcPr>
            <w:tcW w:type="dxa" w:w="1296"/>
          </w:tcPr>
          <w:p>
            <w:r/>
            <w:r>
              <w:rPr>
                <w:rFonts w:ascii="Arial" w:hAnsi="Arial"/>
                <w:sz w:val="20"/>
              </w:rPr>
              <w:t>I</w:t>
            </w:r>
          </w:p>
        </w:tc>
        <w:tc>
          <w:tcPr>
            <w:tcW w:type="dxa" w:w="1296"/>
          </w:tcPr>
          <w:p>
            <w:r/>
            <w:r>
              <w:rPr>
                <w:rFonts w:ascii="Arial" w:hAnsi="Arial"/>
                <w:sz w:val="20"/>
              </w:rPr>
              <w:t>C</w:t>
            </w:r>
          </w:p>
        </w:tc>
      </w:tr>
    </w:tbl>
    <w:p>
      <w:pPr>
        <w:spacing w:after="160"/>
      </w:pPr>
      <w:r>
        <w:rPr>
          <w:i/>
          <w:iCs/>
          <w:color w:val="5A6B6B"/>
          <w:sz w:val="20"/>
          <w:szCs w:val="20"/>
        </w:rPr>
        <w:t xml:space="preserve">R = Responsible, A = Accountable, C = Consulted, I = Informed.</w:t>
      </w:r>
    </w:p>
    <w:p>
      <w:pPr>
        <w:spacing w:after="160"/>
      </w:pPr>
      <w:r>
        <w:rPr>
          <w:rFonts w:ascii="Arial" w:hAnsi="Arial"/>
          <w:sz w:val="22"/>
        </w:rPr>
        <w:t>Role allocation note: I perform the Scrum Master responsibilities shown above within my Business Analyst delivery role for this engagement, consistent with GreenSphere's lean delivery structure. Listing Scrum Master as a distinct persona documents that governance function, not a separate individual.</w:t>
      </w:r>
    </w:p>
    <w:p>
      <w:pPr>
        <w:pStyle w:val="Heading1"/>
        <w:spacing w:after="200" w:before="400"/>
      </w:pPr>
      <w:r>
        <w:t xml:space="preserve">1.8 Communication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600"/>
        <w:gridCol w:w="1800"/>
      </w:tblGrid>
      <w:tr>
        <w:tc>
          <w:tcPr>
            <w:tcW w:type="dxa" w:w="2400"/>
            <w:shd w:fill="0E7C7B" w:val="clear"/>
          </w:tcPr>
          <w:p>
            <w:r>
              <w:rPr>
                <w:b/>
                <w:bCs/>
                <w:color w:val="FFFFFF"/>
                <w:sz w:val="20"/>
                <w:szCs w:val="20"/>
              </w:rPr>
              <w:t xml:space="preserve">Audience</w:t>
            </w:r>
          </w:p>
        </w:tc>
        <w:tc>
          <w:tcPr>
            <w:tcW w:type="dxa" w:w="2200"/>
            <w:shd w:fill="0E7C7B" w:val="clear"/>
          </w:tcPr>
          <w:p>
            <w:r>
              <w:rPr>
                <w:b/>
                <w:bCs/>
                <w:color w:val="FFFFFF"/>
                <w:sz w:val="20"/>
                <w:szCs w:val="20"/>
              </w:rPr>
              <w:t xml:space="preserve">Cadence</w:t>
            </w:r>
          </w:p>
        </w:tc>
        <w:tc>
          <w:tcPr>
            <w:tcW w:type="dxa" w:w="2600"/>
            <w:shd w:fill="0E7C7B" w:val="clear"/>
          </w:tcPr>
          <w:p>
            <w:r>
              <w:rPr>
                <w:b/>
                <w:bCs/>
                <w:color w:val="FFFFFF"/>
                <w:sz w:val="20"/>
                <w:szCs w:val="20"/>
              </w:rPr>
              <w:t xml:space="preserve">Channel</w:t>
            </w:r>
          </w:p>
        </w:tc>
        <w:tc>
          <w:tcPr>
            <w:tcW w:type="dxa" w:w="1800"/>
            <w:shd w:fill="0E7C7B" w:val="clear"/>
          </w:tcPr>
          <w:p>
            <w:r>
              <w:rPr>
                <w:b/>
                <w:bCs/>
                <w:color w:val="FFFFFF"/>
                <w:sz w:val="20"/>
                <w:szCs w:val="20"/>
              </w:rPr>
              <w:t xml:space="preserve">Owner</w:t>
            </w:r>
          </w:p>
        </w:tc>
      </w:tr>
      <w:tr>
        <w:tc>
          <w:tcPr>
            <w:tcW w:type="dxa" w:w="2400"/>
          </w:tcPr>
          <w:p>
            <w:r>
              <w:rPr>
                <w:b w:val="false"/>
                <w:bCs w:val="false"/>
                <w:color w:val="000000"/>
                <w:sz w:val="20"/>
                <w:szCs w:val="20"/>
              </w:rPr>
              <w:t xml:space="preserve">Product Sponsor</w:t>
            </w:r>
          </w:p>
        </w:tc>
        <w:tc>
          <w:tcPr>
            <w:tcW w:type="dxa" w:w="2200"/>
          </w:tcPr>
          <w:p>
            <w:r>
              <w:rPr>
                <w:b w:val="false"/>
                <w:bCs w:val="false"/>
                <w:color w:val="000000"/>
                <w:sz w:val="20"/>
                <w:szCs w:val="20"/>
              </w:rPr>
              <w:t xml:space="preserve">Monthly</w:t>
            </w:r>
          </w:p>
        </w:tc>
        <w:tc>
          <w:tcPr>
            <w:tcW w:type="dxa" w:w="2600"/>
          </w:tcPr>
          <w:p>
            <w:r>
              <w:rPr>
                <w:b w:val="false"/>
                <w:bCs w:val="false"/>
                <w:color w:val="000000"/>
                <w:sz w:val="20"/>
                <w:szCs w:val="20"/>
              </w:rPr>
              <w:t xml:space="preserve">Steering summary</w:t>
            </w:r>
          </w:p>
        </w:tc>
        <w:tc>
          <w:tcPr>
            <w:tcW w:type="dxa" w:w="1800"/>
          </w:tcPr>
          <w:p>
            <w:r>
              <w:rPr>
                <w:b w:val="false"/>
                <w:bCs w:val="false"/>
                <w:color w:val="000000"/>
                <w:sz w:val="20"/>
                <w:szCs w:val="20"/>
              </w:rPr>
              <w:t xml:space="preserve">Business Analyst</w:t>
            </w:r>
          </w:p>
        </w:tc>
      </w:tr>
      <w:tr>
        <w:tc>
          <w:tcPr>
            <w:tcW w:type="dxa" w:w="2400"/>
          </w:tcPr>
          <w:p>
            <w:r>
              <w:rPr>
                <w:b w:val="false"/>
                <w:bCs w:val="false"/>
                <w:color w:val="000000"/>
                <w:sz w:val="20"/>
                <w:szCs w:val="20"/>
              </w:rPr>
              <w:t xml:space="preserve">Product Owner</w:t>
            </w:r>
          </w:p>
        </w:tc>
        <w:tc>
          <w:tcPr>
            <w:tcW w:type="dxa" w:w="2200"/>
          </w:tcPr>
          <w:p>
            <w:r>
              <w:rPr>
                <w:b w:val="false"/>
                <w:bCs w:val="false"/>
                <w:color w:val="000000"/>
                <w:sz w:val="20"/>
                <w:szCs w:val="20"/>
              </w:rPr>
              <w:t xml:space="preserve">Weekly</w:t>
            </w:r>
          </w:p>
        </w:tc>
        <w:tc>
          <w:tcPr>
            <w:tcW w:type="dxa" w:w="2600"/>
          </w:tcPr>
          <w:p>
            <w:r>
              <w:rPr>
                <w:b w:val="false"/>
                <w:bCs w:val="false"/>
                <w:color w:val="000000"/>
                <w:sz w:val="20"/>
                <w:szCs w:val="20"/>
              </w:rPr>
              <w:t xml:space="preserve">Backlog review</w:t>
            </w:r>
          </w:p>
        </w:tc>
        <w:tc>
          <w:tcPr>
            <w:tcW w:type="dxa" w:w="1800"/>
          </w:tcPr>
          <w:p>
            <w:r>
              <w:rPr>
                <w:b w:val="false"/>
                <w:bCs w:val="false"/>
                <w:color w:val="000000"/>
                <w:sz w:val="20"/>
                <w:szCs w:val="20"/>
              </w:rPr>
              <w:t xml:space="preserve">Business Analyst</w:t>
            </w:r>
          </w:p>
        </w:tc>
      </w:tr>
      <w:tr>
        <w:tc>
          <w:tcPr>
            <w:tcW w:type="dxa" w:w="2400"/>
          </w:tcPr>
          <w:p>
            <w:r>
              <w:rPr>
                <w:b w:val="false"/>
                <w:bCs w:val="false"/>
                <w:color w:val="000000"/>
                <w:sz w:val="20"/>
                <w:szCs w:val="20"/>
              </w:rPr>
              <w:t xml:space="preserve">Delivery team</w:t>
            </w:r>
          </w:p>
        </w:tc>
        <w:tc>
          <w:tcPr>
            <w:tcW w:type="dxa" w:w="2200"/>
          </w:tcPr>
          <w:p>
            <w:r>
              <w:rPr>
                <w:b w:val="false"/>
                <w:bCs w:val="false"/>
                <w:color w:val="000000"/>
                <w:sz w:val="20"/>
                <w:szCs w:val="20"/>
              </w:rPr>
              <w:t xml:space="preserve">Daily / per sprint cadence</w:t>
            </w:r>
          </w:p>
        </w:tc>
        <w:tc>
          <w:tcPr>
            <w:tcW w:type="dxa" w:w="2600"/>
          </w:tcPr>
          <w:p>
            <w:r>
              <w:rPr>
                <w:b w:val="false"/>
                <w:bCs w:val="false"/>
                <w:color w:val="000000"/>
                <w:sz w:val="20"/>
                <w:szCs w:val="20"/>
              </w:rPr>
              <w:t xml:space="preserve">Standup, sprint ceremonies</w:t>
            </w:r>
          </w:p>
        </w:tc>
        <w:tc>
          <w:tcPr>
            <w:tcW w:type="dxa" w:w="1800"/>
          </w:tcPr>
          <w:p>
            <w:r>
              <w:rPr>
                <w:b w:val="false"/>
                <w:bCs w:val="false"/>
                <w:color w:val="000000"/>
                <w:sz w:val="20"/>
                <w:szCs w:val="20"/>
              </w:rPr>
              <w:t xml:space="preserve">Scrum Master persona</w:t>
            </w:r>
          </w:p>
        </w:tc>
      </w:tr>
      <w:tr>
        <w:tc>
          <w:tcPr>
            <w:tcW w:type="dxa" w:w="2400"/>
          </w:tcPr>
          <w:p>
            <w:r>
              <w:rPr>
                <w:b w:val="false"/>
                <w:bCs w:val="false"/>
                <w:color w:val="000000"/>
                <w:sz w:val="20"/>
                <w:szCs w:val="20"/>
              </w:rPr>
              <w:t xml:space="preserve">All stakeholders</w:t>
            </w:r>
          </w:p>
        </w:tc>
        <w:tc>
          <w:tcPr>
            <w:tcW w:type="dxa" w:w="2200"/>
          </w:tcPr>
          <w:p>
            <w:r>
              <w:rPr>
                <w:b w:val="false"/>
                <w:bCs w:val="false"/>
                <w:color w:val="000000"/>
                <w:sz w:val="20"/>
                <w:szCs w:val="20"/>
              </w:rPr>
              <w:t xml:space="preserve">End of each sprint</w:t>
            </w:r>
          </w:p>
        </w:tc>
        <w:tc>
          <w:tcPr>
            <w:tcW w:type="dxa" w:w="2600"/>
          </w:tcPr>
          <w:p>
            <w:r>
              <w:rPr>
                <w:b w:val="false"/>
                <w:bCs w:val="false"/>
                <w:color w:val="000000"/>
                <w:sz w:val="20"/>
                <w:szCs w:val="20"/>
              </w:rPr>
              <w:t xml:space="preserve">Sprint review</w:t>
            </w:r>
          </w:p>
        </w:tc>
        <w:tc>
          <w:tcPr>
            <w:tcW w:type="dxa" w:w="1800"/>
          </w:tcPr>
          <w:p>
            <w:r>
              <w:rPr>
                <w:b w:val="false"/>
                <w:bCs w:val="false"/>
                <w:color w:val="000000"/>
                <w:sz w:val="20"/>
                <w:szCs w:val="20"/>
              </w:rPr>
              <w:t xml:space="preserve">Product Owner persona</w:t>
            </w:r>
          </w:p>
        </w:tc>
      </w:tr>
      <w:tr>
        <w:tc>
          <w:tcPr>
            <w:tcW w:type="dxa" w:w="2400"/>
          </w:tcPr>
          <w:p>
            <w:r/>
            <w:r>
              <w:rPr>
                <w:rFonts w:ascii="Arial" w:hAnsi="Arial"/>
                <w:sz w:val="20"/>
              </w:rPr>
              <w:t>Gardener (End User)</w:t>
            </w:r>
          </w:p>
        </w:tc>
        <w:tc>
          <w:tcPr>
            <w:tcW w:type="dxa" w:w="2200"/>
          </w:tcPr>
          <w:p>
            <w:r/>
            <w:r>
              <w:rPr>
                <w:rFonts w:ascii="Arial" w:hAnsi="Arial"/>
                <w:sz w:val="20"/>
              </w:rPr>
              <w:t>Ongoing, via usage data and Community Forum feedback</w:t>
            </w:r>
          </w:p>
        </w:tc>
        <w:tc>
          <w:tcPr>
            <w:tcW w:type="dxa" w:w="2600"/>
          </w:tcPr>
          <w:p>
            <w:r/>
            <w:r>
              <w:rPr>
                <w:rFonts w:ascii="Arial" w:hAnsi="Arial"/>
                <w:sz w:val="20"/>
              </w:rPr>
              <w:t>Usage analytics, in-product feedback</w:t>
            </w:r>
          </w:p>
        </w:tc>
        <w:tc>
          <w:tcPr>
            <w:tcW w:type="dxa" w:w="1800"/>
          </w:tcPr>
          <w:p>
            <w:r/>
            <w:r>
              <w:rPr>
                <w:rFonts w:ascii="Arial" w:hAnsi="Arial"/>
                <w:sz w:val="20"/>
              </w:rPr>
              <w:t>Business Analyst</w:t>
            </w:r>
          </w:p>
        </w:tc>
      </w:tr>
      <w:tr>
        <w:tc>
          <w:tcPr>
            <w:tcW w:type="dxa" w:w="2400"/>
          </w:tcPr>
          <w:p>
            <w:r/>
            <w:r>
              <w:rPr>
                <w:rFonts w:ascii="Arial" w:hAnsi="Arial"/>
                <w:sz w:val="20"/>
              </w:rPr>
              <w:t>Support Persona</w:t>
            </w:r>
          </w:p>
        </w:tc>
        <w:tc>
          <w:tcPr>
            <w:tcW w:type="dxa" w:w="2200"/>
          </w:tcPr>
          <w:p>
            <w:r/>
            <w:r>
              <w:rPr>
                <w:rFonts w:ascii="Arial" w:hAnsi="Arial"/>
                <w:sz w:val="20"/>
              </w:rPr>
              <w:t>Once operational, ongoing</w:t>
            </w:r>
          </w:p>
        </w:tc>
        <w:tc>
          <w:tcPr>
            <w:tcW w:type="dxa" w:w="2600"/>
          </w:tcPr>
          <w:p>
            <w:r/>
            <w:r>
              <w:rPr>
                <w:rFonts w:ascii="Arial" w:hAnsi="Arial"/>
                <w:sz w:val="20"/>
              </w:rPr>
              <w:t>Operational handover documentation, escalation channel</w:t>
            </w:r>
          </w:p>
        </w:tc>
        <w:tc>
          <w:tcPr>
            <w:tcW w:type="dxa" w:w="1800"/>
          </w:tcPr>
          <w:p>
            <w:r/>
            <w:r>
              <w:rPr>
                <w:rFonts w:ascii="Arial" w:hAnsi="Arial"/>
                <w:sz w:val="20"/>
              </w:rPr>
              <w:t>Product Owner persona</w:t>
            </w:r>
          </w:p>
        </w:tc>
      </w:tr>
    </w:tbl>
    <w:p>
      <w:pPr>
        <w:pStyle w:val="Heading1"/>
        <w:spacing w:after="200" w:before="400"/>
      </w:pPr>
      <w:r>
        <w:t xml:space="preserve">1.9 Governance</w:t>
      </w:r>
    </w:p>
    <w:p>
      <w:pPr>
        <w:spacing w:after="160"/>
      </w:pPr>
      <w:r>
        <w:t xml:space="preserve">Decision authority sits with the Product Owner persona for backlog and scope decisions, and with the Product Sponsor persona for budget, timeline, and go/no-go decisions. Where the two are in tension, the escalation path runs through a documented Decision Register rather than informal resolution, so every material call has a traceable rationale. This Decision Register is maintained in Confluence and referenced by ID throughout the remaining eight sections.</w:t>
      </w:r>
    </w:p>
    <w:p>
      <w:pPr>
        <w:pStyle w:val="Heading1"/>
        <w:spacing w:after="200" w:before="400"/>
      </w:pPr>
      <w:r>
        <w:t xml:space="preserve">1.10 Discovery Questions</w:t>
      </w:r>
    </w:p>
    <w:p>
      <w:pPr>
        <w:spacing w:after="160"/>
      </w:pPr>
      <w:r>
        <w:t xml:space="preserve">The following questions frame the discovery activity that Sections 2 and 3 are built from:</w:t>
      </w:r>
    </w:p>
    <w:p>
      <w:pPr>
        <w:pStyle w:val="ListParagraph"/>
        <w:numPr>
          <w:ilvl w:val="0"/>
          <w:numId w:val="1"/>
        </w:numPr>
        <w:spacing w:after="80"/>
      </w:pPr>
      <w:r>
        <w:t xml:space="preserve">What does success look like for each of the three core capabilities, independently of the others?</w:t>
      </w:r>
    </w:p>
    <w:p>
      <w:pPr>
        <w:pStyle w:val="ListParagraph"/>
        <w:numPr>
          <w:ilvl w:val="0"/>
          <w:numId w:val="1"/>
        </w:numPr>
        <w:spacing w:after="80"/>
      </w:pPr>
      <w:r>
        <w:t xml:space="preserve">Which of the three stated problems is causing the most acute pain today, and which is most strategically important long-term?</w:t>
      </w:r>
    </w:p>
    <w:p>
      <w:pPr>
        <w:pStyle w:val="ListParagraph"/>
        <w:numPr>
          <w:ilvl w:val="0"/>
          <w:numId w:val="1"/>
        </w:numPr>
        <w:spacing w:after="80"/>
      </w:pPr>
      <w:r>
        <w:t xml:space="preserve">What data does GreenSphere already hold about gardener behaviour, and what is currently missing?</w:t>
      </w:r>
    </w:p>
    <w:p>
      <w:pPr>
        <w:pStyle w:val="ListParagraph"/>
        <w:numPr>
          <w:ilvl w:val="0"/>
          <w:numId w:val="1"/>
        </w:numPr>
        <w:spacing w:after="80"/>
      </w:pPr>
      <w:r>
        <w:t xml:space="preserve">What constraints exist around the 35-person team's capacity across three concurrent capability areas?</w:t>
      </w:r>
    </w:p>
    <w:p>
      <w:pPr>
        <w:pStyle w:val="ListParagraph"/>
        <w:numPr>
          <w:ilvl w:val="0"/>
          <w:numId w:val="1"/>
        </w:numPr>
        <w:spacing w:after="80"/>
      </w:pPr>
      <w:r>
        <w:t xml:space="preserve">What would make this engagement a failure from the Product Sponsor persona's perspective, even if the product ships on time?</w:t>
      </w:r>
    </w:p>
    <w:p>
      <w:pPr>
        <w:pStyle w:val="Heading1"/>
        <w:spacing w:after="200" w:before="400"/>
      </w:pPr>
      <w:r>
        <w:t xml:space="preserve">1.11 Initial Decisions</w:t>
      </w:r>
    </w:p>
    <w:p>
      <w:pPr>
        <w:spacing w:after="160"/>
      </w:pPr>
      <w:r>
        <w:t xml:space="preserve">Two decisions were made at this stage of the engagement, prior to detailed requirements work:</w:t>
      </w:r>
    </w:p>
    <w:p>
      <w:pPr>
        <w:pStyle w:val="ListParagraph"/>
        <w:numPr>
          <w:ilvl w:val="0"/>
          <w:numId w:val="1"/>
        </w:numPr>
        <w:spacing w:after="80"/>
      </w:pPr>
      <w:r>
        <w:t xml:space="preserve">DEC-01: The engagement will run requirements elicitation and root-cause analysis before any Epic or backlog structure is drafted, rather than working backward from the brief's mention of Jira. This keeps the golden thread intact from problem to delivery.</w:t>
      </w:r>
    </w:p>
    <w:p>
      <w:pPr>
        <w:pStyle w:val="ListParagraph"/>
        <w:numPr>
          <w:ilvl w:val="0"/>
          <w:numId w:val="1"/>
        </w:numPr>
        <w:spacing w:after="80"/>
      </w:pPr>
      <w:r>
        <w:t xml:space="preserve">DEC-02: Stakeholder engagement in all portfolio-facing documentation will be represented through defined personas rather than named individuals, for confidentiality reasons specific to this engagement.</w:t>
      </w:r>
    </w:p>
    <w:p>
      <w:pPr>
        <w:pStyle w:val="Heading1"/>
        <w:spacing w:after="200" w:before="400"/>
      </w:pPr>
      <w:r>
        <w:t xml:space="preserve">1.12 Delivery Reflection</w:t>
      </w:r>
    </w:p>
    <w:p>
      <w:pPr>
        <w:spacing w:after="160"/>
      </w:pPr>
      <w:r>
        <w:t xml:space="preserve">The one real tension at this stage of the engagement was between speed and rigour. The brief already names Jira, three sprints, and a two-week cycle, which creates pressure to start building backlog structure immediately.</w:t>
      </w:r>
    </w:p>
    <w:p>
      <w:pPr>
        <w:spacing w:after="160"/>
      </w:pPr>
      <w:r>
        <w:t xml:space="preserve">I chose to hold that back until governance, stakeholder mapping, and root-cause analysis were established first, on the basis that a backlog built ahead of a validated problem definition tends to require costly rework once real requirements surface. That trade-off is documented here because it shaped the sequencing of the entire engagement, not just this section.</w:t>
      </w:r>
    </w:p>
    <w:p>
      <w:pPr>
        <w:pStyle w:val="Heading1"/>
        <w:spacing w:after="200" w:before="400"/>
      </w:pPr>
      <w:r>
        <w:t xml:space="preserve">1.13 Executive Takeaway</w:t>
      </w:r>
    </w:p>
    <w:p>
      <w:pPr>
        <w:spacing w:after="160"/>
      </w:pPr>
      <w:r>
        <w:t xml:space="preserve">This engagement begins from a brief that specifies delivery mechanics but not delivery governance. Before any backlog, sprint, or Epic work began, I established who the engagement answers to, how decisions get made, and what problem is actually being solved. That foundation is what the remaining eight sections of this report are built 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2026-08-21T01:21:54.462Z</dcterms:created>
  <dcterms:modified xsi:type="dcterms:W3CDTF">2026-08-21T01:21:54.462Z</dcterms:modified>
</cp:coreProperties>
</file>

<file path=docProps/custom.xml><?xml version="1.0" encoding="utf-8"?>
<Properties xmlns="http://schemas.openxmlformats.org/officeDocument/2006/custom-properties" xmlns:vt="http://schemas.openxmlformats.org/officeDocument/2006/docPropsVTypes"/>
</file>