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EcoGrow</w:t>
      </w:r>
    </w:p>
    <w:p>
      <w:pPr>
        <w:spacing w:after="100"/>
      </w:pPr>
      <w:r>
        <w:rPr>
          <w:b/>
          <w:bCs/>
          <w:color w:val="0E7C7B"/>
          <w:sz w:val="32"/>
          <w:szCs w:val="32"/>
        </w:rPr>
        <w:t xml:space="preserve">Section 2: Business Analysis &amp; Problem Definition</w:t>
      </w:r>
    </w:p>
    <w:p>
      <w:pPr>
        <w:spacing w:after="400"/>
      </w:pPr>
      <w:r>
        <w:rPr>
          <w:color w:val="5A6B6B"/>
          <w:sz w:val="22"/>
          <w:szCs w:val="22"/>
        </w:rPr>
        <w:t xml:space="preserve">Prepared by Doris Frank, Business Analyst</w:t>
      </w:r>
    </w:p>
    <w:p>
      <w:pPr>
        <w:pStyle w:val="Heading1"/>
        <w:spacing w:after="200" w:before="400"/>
      </w:pPr>
      <w:r>
        <w:t xml:space="preserve">2.1 Business Problem</w:t>
      </w:r>
    </w:p>
    <w:p>
      <w:pPr>
        <w:spacing w:after="160"/>
      </w:pPr>
      <w:r>
        <w:t xml:space="preserve">GreenSphere's stated problem is threefold, but treating the three as one undifferentiated problem risks a product that addresses none of them well. I separated the three into distinct problem statements so each could be root-caused independently, then reconnected through a shared future-state direction in section 2.5.</w:t>
      </w:r>
    </w:p>
    <w:p>
      <w:pPr>
        <w:spacing w:after="160"/>
      </w:pPr>
      <w:r>
        <w:t xml:space="preserve">Problem 1: Gardeners lack a single reliable source for plant-care information.</w:t>
      </w:r>
    </w:p>
    <w:p>
      <w:pPr>
        <w:spacing w:after="160"/>
      </w:pPr>
      <w:r>
        <w:t xml:space="preserve">Problem 2: There is no dedicated platform for gardeners to connect and share knowledge with each other.</w:t>
      </w:r>
    </w:p>
    <w:p>
      <w:pPr>
        <w:spacing w:after="160"/>
      </w:pPr>
      <w:r>
        <w:t xml:space="preserve">Problem 3: Gardeners have no simple way to track their own progress, record harvests, or recognise their achievements.</w:t>
      </w:r>
    </w:p>
    <w:p>
      <w:pPr>
        <w:pStyle w:val="Heading1"/>
        <w:spacing w:after="200" w:before="400"/>
      </w:pPr>
      <w:r>
        <w:t xml:space="preserve">2.2 Root-Cause Analysis</w:t>
      </w:r>
    </w:p>
    <w:p>
      <w:pPr>
        <w:spacing w:after="160"/>
      </w:pPr>
      <w:r>
        <w:t xml:space="preserve">I applied a 5 Whys technique to each stated problem to avoid designing a solution around a symptom rather than a cause.</w:t>
      </w:r>
    </w:p>
    <w:p>
      <w:pPr>
        <w:spacing w:after="160"/>
      </w:pPr>
      <w:r>
        <w:rPr>
          <w:b/>
          <w:bCs/>
        </w:rPr>
        <w:t xml:space="preserve">Problem 1, Scattered information</w:t>
      </w:r>
    </w:p>
    <w:p>
      <w:pPr>
        <w:pStyle w:val="ListParagraph"/>
        <w:numPr>
          <w:ilvl w:val="0"/>
          <w:numId w:val="1"/>
        </w:numPr>
        <w:spacing w:after="80"/>
      </w:pPr>
      <w:r>
        <w:t xml:space="preserve">Why do gardeners lack a reliable source? Plant-care advice is spread across forums, blogs, and printed guides of inconsistent quality.</w:t>
      </w:r>
    </w:p>
    <w:p>
      <w:pPr>
        <w:pStyle w:val="ListParagraph"/>
        <w:numPr>
          <w:ilvl w:val="0"/>
          <w:numId w:val="1"/>
        </w:numPr>
        <w:spacing w:after="80"/>
      </w:pPr>
      <w:r>
        <w:t xml:space="preserve">Why is it spread across inconsistent sources? No single platform has positioned itself as horticulture-specific and community-vetted.</w:t>
      </w:r>
    </w:p>
    <w:p>
      <w:pPr>
        <w:pStyle w:val="ListParagraph"/>
        <w:numPr>
          <w:ilvl w:val="0"/>
          <w:numId w:val="1"/>
        </w:numPr>
        <w:spacing w:after="80"/>
      </w:pPr>
      <w:r>
        <w:t xml:space="preserve">Why has no platform filled that gap? General gardening content competes with generic lifestyle and DIY content, diluting authority.</w:t>
      </w:r>
    </w:p>
    <w:p>
      <w:pPr>
        <w:pStyle w:val="ListParagraph"/>
        <w:numPr>
          <w:ilvl w:val="0"/>
          <w:numId w:val="1"/>
        </w:numPr>
        <w:spacing w:after="80"/>
      </w:pPr>
      <w:r>
        <w:t xml:space="preserve">Why does that dilution matter to GreenSphere specifically? It directly undermines GreenSphere's stated value of empowerment through simplicity, gardeners cannot act with confidence on unclear guidance.</w:t>
      </w:r>
    </w:p>
    <w:p>
      <w:pPr>
        <w:pStyle w:val="ListParagraph"/>
        <w:numPr>
          <w:ilvl w:val="0"/>
          <w:numId w:val="1"/>
        </w:numPr>
        <w:spacing w:after="80"/>
      </w:pPr>
      <w:r>
        <w:t xml:space="preserve">Root cause: the absence of a horticulture-specific, centralised, trusted information source, not a lack of gardening content in general.</w:t>
      </w:r>
    </w:p>
    <w:p>
      <w:pPr>
        <w:spacing w:after="160"/>
      </w:pPr>
      <w:r>
        <w:rPr>
          <w:b/>
          <w:bCs/>
        </w:rPr>
        <w:t xml:space="preserve">Problem 2, Lack of community</w:t>
      </w:r>
    </w:p>
    <w:p>
      <w:pPr>
        <w:pStyle w:val="ListParagraph"/>
        <w:numPr>
          <w:ilvl w:val="0"/>
          <w:numId w:val="1"/>
        </w:numPr>
        <w:spacing w:after="80"/>
      </w:pPr>
      <w:r>
        <w:t xml:space="preserve">Why is there no dedicated platform? Existing gardening communities are hosted on general-purpose social platforms not built for horticulture.</w:t>
      </w:r>
    </w:p>
    <w:p>
      <w:pPr>
        <w:pStyle w:val="ListParagraph"/>
        <w:numPr>
          <w:ilvl w:val="0"/>
          <w:numId w:val="1"/>
        </w:numPr>
        <w:spacing w:after="80"/>
      </w:pPr>
      <w:r>
        <w:t xml:space="preserve">Why does that matter? Generic platforms don't structure knowledge-sharing around plant type, season, or region, so useful exchange gets lost.</w:t>
      </w:r>
    </w:p>
    <w:p>
      <w:pPr>
        <w:pStyle w:val="ListParagraph"/>
        <w:numPr>
          <w:ilvl w:val="0"/>
          <w:numId w:val="1"/>
        </w:numPr>
        <w:spacing w:after="80"/>
      </w:pPr>
      <w:r>
        <w:t xml:space="preserve">Why hasn't this been solved already? It requires combining community features with domain-specific structure, which most general platforms don't prioritise.</w:t>
      </w:r>
    </w:p>
    <w:p>
      <w:pPr>
        <w:pStyle w:val="ListParagraph"/>
        <w:numPr>
          <w:ilvl w:val="0"/>
          <w:numId w:val="1"/>
        </w:numPr>
        <w:spacing w:after="80"/>
      </w:pPr>
      <w:r>
        <w:t xml:space="preserve">Root cause: community exists, but without domain-specific structure it doesn't translate into usable, findable knowledge-sharing.</w:t>
      </w:r>
    </w:p>
    <w:p>
      <w:pPr>
        <w:spacing w:after="160"/>
      </w:pPr>
      <w:r>
        <w:rPr>
          <w:b/>
          <w:bCs/>
        </w:rPr>
        <w:t xml:space="preserve">Problem 3, Ineffective tracking</w:t>
      </w:r>
    </w:p>
    <w:p>
      <w:pPr>
        <w:pStyle w:val="ListParagraph"/>
        <w:numPr>
          <w:ilvl w:val="0"/>
          <w:numId w:val="1"/>
        </w:numPr>
        <w:spacing w:after="80"/>
      </w:pPr>
      <w:r>
        <w:t xml:space="preserve">Why do gardeners lack tracking tools? No existing tool is built around the specific milestones of a gardening lifecycle, such as planting, growth stages, and harvest.</w:t>
      </w:r>
    </w:p>
    <w:p>
      <w:pPr>
        <w:pStyle w:val="ListParagraph"/>
        <w:numPr>
          <w:ilvl w:val="0"/>
          <w:numId w:val="1"/>
        </w:numPr>
        <w:spacing w:after="80"/>
      </w:pPr>
      <w:r>
        <w:t xml:space="preserve">Why does that matter? Without visible progress or milestones, gardeners lose motivation and don't return to the habit.</w:t>
      </w:r>
    </w:p>
    <w:p>
      <w:pPr>
        <w:pStyle w:val="ListParagraph"/>
        <w:numPr>
          <w:ilvl w:val="0"/>
          <w:numId w:val="1"/>
        </w:numPr>
        <w:spacing w:after="80"/>
      </w:pPr>
      <w:r>
        <w:t xml:space="preserve">Root cause: the absence of a lightweight tracking tool matched to the actual rhythm of a gardening lifecycle, not a general lack of tracking apps.</w:t>
      </w:r>
    </w:p>
    <w:p>
      <w:pPr>
        <w:pStyle w:val="Heading1"/>
        <w:spacing w:after="200" w:before="400"/>
      </w:pPr>
      <w:r>
        <w:t xml:space="preserve">2.3 Business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000"/>
      </w:tblGrid>
      <w:tr>
        <w:tc>
          <w:tcPr>
            <w:tcW w:type="dxa" w:w="1400"/>
            <w:shd w:fill="0E7C7B" w:val="clear"/>
          </w:tcPr>
          <w:p>
            <w:r>
              <w:rPr>
                <w:b/>
                <w:bCs/>
                <w:color w:val="FFFFFF"/>
                <w:sz w:val="20"/>
                <w:szCs w:val="20"/>
              </w:rPr>
              <w:t xml:space="preserve">ID</w:t>
            </w:r>
          </w:p>
        </w:tc>
        <w:tc>
          <w:tcPr>
            <w:tcW w:type="dxa" w:w="5600"/>
            <w:shd w:fill="0E7C7B" w:val="clear"/>
          </w:tcPr>
          <w:p>
            <w:r>
              <w:rPr>
                <w:b/>
                <w:bCs/>
                <w:color w:val="FFFFFF"/>
                <w:sz w:val="20"/>
                <w:szCs w:val="20"/>
              </w:rPr>
              <w:t xml:space="preserve">Objective</w:t>
            </w:r>
          </w:p>
        </w:tc>
        <w:tc>
          <w:tcPr>
            <w:tcW w:type="dxa" w:w="2000"/>
            <w:shd w:fill="0E7C7B" w:val="clear"/>
          </w:tcPr>
          <w:p>
            <w:r>
              <w:rPr>
                <w:b/>
                <w:bCs/>
                <w:color w:val="FFFFFF"/>
                <w:sz w:val="20"/>
                <w:szCs w:val="20"/>
              </w:rPr>
              <w:t xml:space="preserve">Traces to</w:t>
            </w:r>
          </w:p>
        </w:tc>
      </w:tr>
      <w:tr>
        <w:tc>
          <w:tcPr>
            <w:tcW w:type="dxa" w:w="1400"/>
          </w:tcPr>
          <w:p>
            <w:r>
              <w:rPr>
                <w:b w:val="false"/>
                <w:bCs w:val="false"/>
                <w:color w:val="000000"/>
                <w:sz w:val="20"/>
                <w:szCs w:val="20"/>
              </w:rPr>
              <w:t xml:space="preserve">BO-01</w:t>
            </w:r>
          </w:p>
        </w:tc>
        <w:tc>
          <w:tcPr>
            <w:tcW w:type="dxa" w:w="5600"/>
          </w:tcPr>
          <w:p>
            <w:r>
              <w:rPr>
                <w:b w:val="false"/>
                <w:bCs w:val="false"/>
                <w:color w:val="000000"/>
                <w:sz w:val="20"/>
                <w:szCs w:val="20"/>
              </w:rPr>
              <w:t xml:space="preserve">Establish a single, trusted, horticulture-specific information source</w:t>
            </w:r>
          </w:p>
        </w:tc>
        <w:tc>
          <w:tcPr>
            <w:tcW w:type="dxa" w:w="2000"/>
          </w:tcPr>
          <w:p>
            <w:r>
              <w:rPr>
                <w:b w:val="false"/>
                <w:bCs w:val="false"/>
                <w:color w:val="000000"/>
                <w:sz w:val="20"/>
                <w:szCs w:val="20"/>
              </w:rPr>
              <w:t xml:space="preserve">Problem 1</w:t>
            </w:r>
          </w:p>
        </w:tc>
      </w:tr>
      <w:tr>
        <w:tc>
          <w:tcPr>
            <w:tcW w:type="dxa" w:w="1400"/>
          </w:tcPr>
          <w:p>
            <w:r>
              <w:rPr>
                <w:b w:val="false"/>
                <w:bCs w:val="false"/>
                <w:color w:val="000000"/>
                <w:sz w:val="20"/>
                <w:szCs w:val="20"/>
              </w:rPr>
              <w:t xml:space="preserve">BO-02</w:t>
            </w:r>
          </w:p>
        </w:tc>
        <w:tc>
          <w:tcPr>
            <w:tcW w:type="dxa" w:w="5600"/>
          </w:tcPr>
          <w:p>
            <w:r>
              <w:rPr>
                <w:b w:val="false"/>
                <w:bCs w:val="false"/>
                <w:color w:val="000000"/>
                <w:sz w:val="20"/>
                <w:szCs w:val="20"/>
              </w:rPr>
              <w:t xml:space="preserve">Create a structured space for gardeners to connect and exchange knowledge</w:t>
            </w:r>
          </w:p>
        </w:tc>
        <w:tc>
          <w:tcPr>
            <w:tcW w:type="dxa" w:w="2000"/>
          </w:tcPr>
          <w:p>
            <w:r>
              <w:rPr>
                <w:b w:val="false"/>
                <w:bCs w:val="false"/>
                <w:color w:val="000000"/>
                <w:sz w:val="20"/>
                <w:szCs w:val="20"/>
              </w:rPr>
              <w:t xml:space="preserve">Problem 2</w:t>
            </w:r>
          </w:p>
        </w:tc>
      </w:tr>
      <w:tr>
        <w:tc>
          <w:tcPr>
            <w:tcW w:type="dxa" w:w="1400"/>
          </w:tcPr>
          <w:p>
            <w:r>
              <w:rPr>
                <w:b w:val="false"/>
                <w:bCs w:val="false"/>
                <w:color w:val="000000"/>
                <w:sz w:val="20"/>
                <w:szCs w:val="20"/>
              </w:rPr>
              <w:t xml:space="preserve">BO-03</w:t>
            </w:r>
          </w:p>
        </w:tc>
        <w:tc>
          <w:tcPr>
            <w:tcW w:type="dxa" w:w="5600"/>
          </w:tcPr>
          <w:p>
            <w:r>
              <w:rPr>
                <w:b w:val="false"/>
                <w:bCs w:val="false"/>
                <w:color w:val="000000"/>
                <w:sz w:val="20"/>
                <w:szCs w:val="20"/>
              </w:rPr>
              <w:t xml:space="preserve">Give gardeners a simple way to track progress and recognise achievement</w:t>
            </w:r>
          </w:p>
        </w:tc>
        <w:tc>
          <w:tcPr>
            <w:tcW w:type="dxa" w:w="2000"/>
          </w:tcPr>
          <w:p>
            <w:r>
              <w:rPr>
                <w:b w:val="false"/>
                <w:bCs w:val="false"/>
                <w:color w:val="000000"/>
                <w:sz w:val="20"/>
                <w:szCs w:val="20"/>
              </w:rPr>
              <w:t xml:space="preserve">Problem 3</w:t>
            </w:r>
          </w:p>
        </w:tc>
      </w:tr>
      <w:tr>
        <w:tc>
          <w:tcPr>
            <w:tcW w:type="dxa" w:w="1400"/>
          </w:tcPr>
          <w:p>
            <w:r>
              <w:rPr>
                <w:b w:val="false"/>
                <w:bCs w:val="false"/>
                <w:color w:val="000000"/>
                <w:sz w:val="20"/>
                <w:szCs w:val="20"/>
              </w:rPr>
              <w:t xml:space="preserve">BO-04</w:t>
            </w:r>
          </w:p>
        </w:tc>
        <w:tc>
          <w:tcPr>
            <w:tcW w:type="dxa" w:w="5600"/>
          </w:tcPr>
          <w:p>
            <w:r>
              <w:rPr>
                <w:b w:val="false"/>
                <w:bCs w:val="false"/>
                <w:color w:val="000000"/>
                <w:sz w:val="20"/>
                <w:szCs w:val="20"/>
              </w:rPr>
              <w:t xml:space="preserve">Capture user data to inform future product and business decisions</w:t>
            </w:r>
          </w:p>
        </w:tc>
        <w:tc>
          <w:tcPr>
            <w:tcW w:type="dxa" w:w="2000"/>
          </w:tcPr>
          <w:p>
            <w:r>
              <w:rPr>
                <w:b w:val="false"/>
                <w:bCs w:val="false"/>
                <w:color w:val="000000"/>
                <w:sz w:val="20"/>
                <w:szCs w:val="20"/>
              </w:rPr>
              <w:t xml:space="preserve">Business rationale, brief</w:t>
            </w:r>
          </w:p>
        </w:tc>
      </w:tr>
    </w:tbl>
    <w:p>
      <w:pPr>
        <w:pStyle w:val="Heading1"/>
        <w:spacing w:after="200" w:before="400"/>
      </w:pPr>
      <w:r>
        <w:t xml:space="preserve">2.4 Current-State Analysis</w:t>
      </w:r>
    </w:p>
    <w:p>
      <w:pPr>
        <w:spacing w:after="160"/>
      </w:pPr>
      <w:r>
        <w:t xml:space="preserve">Today, a gardener seeking plant-care information, community, or a way to track progress has to assemble their own toolkit across multiple unrelated products: search engines and forums for information, general social platforms for community, and either nothing or a generic habit-tracking app for progress.</w:t>
      </w:r>
    </w:p>
    <w:p>
      <w:pPr>
        <w:spacing w:after="160"/>
      </w:pPr>
      <w:r>
        <w:t xml:space="preserve">None of these are built for horticulture specifically, and none of them talk to each other. The result is a fragmented experience that GreenSphere's own three stated problems describe accurately.</w:t>
      </w:r>
    </w:p>
    <w:p>
      <w:pPr>
        <w:pStyle w:val="Heading1"/>
        <w:spacing w:after="200" w:before="400"/>
      </w:pPr>
      <w:r>
        <w:t xml:space="preserve">2.5 Future-State Direction</w:t>
      </w:r>
    </w:p>
    <w:p>
      <w:pPr>
        <w:spacing w:after="160"/>
      </w:pPr>
      <w:r>
        <w:t xml:space="preserve">The future state consolidates all three capabilities, Plant Library, Community Forum, and Harvest Tracker, into a single product experience, so that the information a gardener finds, the community they engage with, and the progress they track all reinforce each other rather than living in separate, disconnected tools. This is the direction that BO-01 through BO-04 collectively point toward, and it is the basis for the MVP definition in Section 4.</w:t>
      </w:r>
    </w:p>
    <w:p>
      <w:pPr>
        <w:pStyle w:val="Heading1"/>
        <w:spacing w:after="200" w:before="400"/>
      </w:pPr>
      <w:r>
        <w:t xml:space="preserve">2.6 Stakeholder Needs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0E7C7B" w:val="clear"/>
          </w:tcPr>
          <w:p>
            <w:r>
              <w:rPr>
                <w:b/>
                <w:bCs/>
                <w:color w:val="FFFFFF"/>
                <w:sz w:val="20"/>
                <w:szCs w:val="20"/>
              </w:rPr>
              <w:t xml:space="preserve">Persona</w:t>
            </w:r>
          </w:p>
        </w:tc>
        <w:tc>
          <w:tcPr>
            <w:tcW w:type="dxa" w:w="5800"/>
            <w:shd w:fill="0E7C7B" w:val="clear"/>
          </w:tcPr>
          <w:p>
            <w:r>
              <w:rPr>
                <w:b/>
                <w:bCs/>
                <w:color w:val="FFFFFF"/>
                <w:sz w:val="20"/>
                <w:szCs w:val="20"/>
              </w:rPr>
              <w:t xml:space="preserve">Need</w:t>
            </w:r>
          </w:p>
        </w:tc>
      </w:tr>
      <w:tr>
        <w:tc>
          <w:tcPr>
            <w:tcW w:type="dxa" w:w="3200"/>
          </w:tcPr>
          <w:p>
            <w:r>
              <w:rPr>
                <w:b w:val="false"/>
                <w:bCs w:val="false"/>
                <w:color w:val="000000"/>
                <w:sz w:val="20"/>
                <w:szCs w:val="20"/>
              </w:rPr>
              <w:t xml:space="preserve">Product Sponsor Persona</w:t>
            </w:r>
          </w:p>
        </w:tc>
        <w:tc>
          <w:tcPr>
            <w:tcW w:type="dxa" w:w="5800"/>
          </w:tcPr>
          <w:p>
            <w:r>
              <w:rPr>
                <w:b w:val="false"/>
                <w:bCs w:val="false"/>
                <w:color w:val="000000"/>
                <w:sz w:val="20"/>
                <w:szCs w:val="20"/>
              </w:rPr>
              <w:t xml:space="preserve">Evidence that the product addresses a validated business problem before further investment</w:t>
            </w:r>
          </w:p>
        </w:tc>
      </w:tr>
      <w:tr>
        <w:tc>
          <w:tcPr>
            <w:tcW w:type="dxa" w:w="3200"/>
          </w:tcPr>
          <w:p>
            <w:r>
              <w:rPr>
                <w:b w:val="false"/>
                <w:bCs w:val="false"/>
                <w:color w:val="000000"/>
                <w:sz w:val="20"/>
                <w:szCs w:val="20"/>
              </w:rPr>
              <w:t xml:space="preserve">Product Owner Persona</w:t>
            </w:r>
          </w:p>
        </w:tc>
        <w:tc>
          <w:tcPr>
            <w:tcW w:type="dxa" w:w="5800"/>
          </w:tcPr>
          <w:p>
            <w:r>
              <w:rPr>
                <w:b w:val="false"/>
                <w:bCs w:val="false"/>
                <w:color w:val="000000"/>
                <w:sz w:val="20"/>
                <w:szCs w:val="20"/>
              </w:rPr>
              <w:t xml:space="preserve">A backlog that reflects real prioritisation logic, not just brief-stated features</w:t>
            </w:r>
          </w:p>
        </w:tc>
      </w:tr>
      <w:tr>
        <w:tc>
          <w:tcPr>
            <w:tcW w:type="dxa" w:w="3200"/>
          </w:tcPr>
          <w:p>
            <w:r>
              <w:rPr>
                <w:b w:val="false"/>
                <w:bCs w:val="false"/>
                <w:color w:val="000000"/>
                <w:sz w:val="20"/>
                <w:szCs w:val="20"/>
              </w:rPr>
              <w:t xml:space="preserve">Engineering Lead Persona</w:t>
            </w:r>
          </w:p>
        </w:tc>
        <w:tc>
          <w:tcPr>
            <w:tcW w:type="dxa" w:w="5800"/>
          </w:tcPr>
          <w:p>
            <w:r>
              <w:rPr>
                <w:b w:val="false"/>
                <w:bCs w:val="false"/>
                <w:color w:val="000000"/>
                <w:sz w:val="20"/>
                <w:szCs w:val="20"/>
              </w:rPr>
              <w:t xml:space="preserve">Requirements specific enough to estimate and build against without repeated rework</w:t>
            </w:r>
          </w:p>
        </w:tc>
      </w:tr>
      <w:tr>
        <w:tc>
          <w:tcPr>
            <w:tcW w:type="dxa" w:w="3200"/>
          </w:tcPr>
          <w:p>
            <w:r>
              <w:rPr>
                <w:b w:val="false"/>
                <w:bCs w:val="false"/>
                <w:color w:val="000000"/>
                <w:sz w:val="20"/>
                <w:szCs w:val="20"/>
              </w:rPr>
              <w:t xml:space="preserve">UX Lead Persona</w:t>
            </w:r>
          </w:p>
        </w:tc>
        <w:tc>
          <w:tcPr>
            <w:tcW w:type="dxa" w:w="5800"/>
          </w:tcPr>
          <w:p>
            <w:r>
              <w:rPr>
                <w:b w:val="false"/>
                <w:bCs w:val="false"/>
                <w:color w:val="000000"/>
                <w:sz w:val="20"/>
                <w:szCs w:val="20"/>
              </w:rPr>
              <w:t xml:space="preserve">Clarity on which of the three capabilities is primary for the MVP, to focus design effort</w:t>
            </w:r>
          </w:p>
        </w:tc>
      </w:tr>
      <w:tr>
        <w:tc>
          <w:tcPr>
            <w:tcW w:type="dxa" w:w="3200"/>
          </w:tcPr>
          <w:p>
            <w:r>
              <w:rPr>
                <w:b w:val="false"/>
                <w:bCs w:val="false"/>
                <w:color w:val="000000"/>
                <w:sz w:val="20"/>
                <w:szCs w:val="20"/>
              </w:rPr>
              <w:t xml:space="preserve">QA Lead Persona</w:t>
            </w:r>
          </w:p>
        </w:tc>
        <w:tc>
          <w:tcPr>
            <w:tcW w:type="dxa" w:w="5800"/>
          </w:tcPr>
          <w:p>
            <w:r>
              <w:rPr>
                <w:b w:val="false"/>
                <w:bCs w:val="false"/>
                <w:color w:val="000000"/>
                <w:sz w:val="20"/>
                <w:szCs w:val="20"/>
              </w:rPr>
              <w:t xml:space="preserve">Acceptance criteria defined early enough to build test cases alongside development</w:t>
            </w:r>
          </w:p>
        </w:tc>
      </w:tr>
    </w:tbl>
    <w:p>
      <w:pPr>
        <w:pStyle w:val="Heading1"/>
        <w:spacing w:after="200" w:before="400"/>
      </w:pPr>
      <w:r>
        <w:t xml:space="preserve">2.7 Business Requirements</w:t>
      </w:r>
    </w:p>
    <w:p>
      <w:pPr>
        <w:spacing w:after="160"/>
      </w:pPr>
      <w:r>
        <w:t xml:space="preserve">At this stage, business requirements are expressed at the level GreenSphere's problem statements support, detailed functional requirements are developed in Section 3 once these are validated.</w:t>
      </w:r>
    </w:p>
    <w:p>
      <w:pPr>
        <w:pStyle w:val="ListParagraph"/>
        <w:numPr>
          <w:ilvl w:val="0"/>
          <w:numId w:val="1"/>
        </w:numPr>
        <w:spacing w:after="80"/>
      </w:pPr>
      <w:r>
        <w:t xml:space="preserve">BR-01: The product must provide plant-care information that a gardener can trust as horticulture-specific and vetted, tracing to BO-01.</w:t>
      </w:r>
    </w:p>
    <w:p>
      <w:pPr>
        <w:pStyle w:val="ListParagraph"/>
        <w:numPr>
          <w:ilvl w:val="0"/>
          <w:numId w:val="1"/>
        </w:numPr>
        <w:spacing w:after="80"/>
      </w:pPr>
      <w:r>
        <w:t xml:space="preserve">BR-02: The product must allow gardeners to interact with each other in a way that is structured around plant type, season, or region, tracing to BO-02.</w:t>
      </w:r>
    </w:p>
    <w:p>
      <w:pPr>
        <w:pStyle w:val="ListParagraph"/>
        <w:numPr>
          <w:ilvl w:val="0"/>
          <w:numId w:val="1"/>
        </w:numPr>
        <w:spacing w:after="80"/>
      </w:pPr>
      <w:r>
        <w:t xml:space="preserve">BR-03: The product must let a gardener record and visualise progress against their own gardening activity, tracing to BO-03.</w:t>
      </w:r>
    </w:p>
    <w:p>
      <w:pPr>
        <w:pStyle w:val="ListParagraph"/>
        <w:numPr>
          <w:ilvl w:val="0"/>
          <w:numId w:val="1"/>
        </w:numPr>
        <w:spacing w:after="80"/>
      </w:pPr>
      <w:r>
        <w:t xml:space="preserve">BR-04: The product must capture usage data in a way that supports future product and business decisions, tracing to BO-04.</w:t>
      </w:r>
    </w:p>
    <w:p>
      <w:pPr>
        <w:pStyle w:val="Heading1"/>
        <w:spacing w:after="200" w:before="400"/>
      </w:pPr>
      <w:r>
        <w:t xml:space="preserve">2.8 Non-Functional Considerations</w:t>
      </w:r>
    </w:p>
    <w:p>
      <w:pPr>
        <w:pStyle w:val="ListParagraph"/>
        <w:numPr>
          <w:ilvl w:val="0"/>
          <w:numId w:val="1"/>
        </w:numPr>
        <w:spacing w:after="80"/>
      </w:pPr>
      <w:r>
        <w:t xml:space="preserve">Usability: aligns to GreenSphere's stated value of empowerment through simplicity, the product should not require gardening expertise to use effectively.</w:t>
      </w:r>
    </w:p>
    <w:p>
      <w:pPr>
        <w:pStyle w:val="ListParagraph"/>
        <w:numPr>
          <w:ilvl w:val="0"/>
          <w:numId w:val="1"/>
        </w:numPr>
        <w:spacing w:after="80"/>
      </w:pPr>
      <w:r>
        <w:t xml:space="preserve">Data integrity: given BO-04 depends on captured usage data informing real decisions, that data needs to be reliable from the first release, not retrofitted later.</w:t>
      </w:r>
    </w:p>
    <w:p>
      <w:pPr>
        <w:pStyle w:val="ListParagraph"/>
        <w:numPr>
          <w:ilvl w:val="0"/>
          <w:numId w:val="1"/>
        </w:numPr>
        <w:spacing w:after="80"/>
      </w:pPr>
      <w:r>
        <w:t xml:space="preserve">Scalability: a community feature (BR-02) needs to support growth in both users and content volume without a redesign.</w:t>
      </w:r>
    </w:p>
    <w:p>
      <w:pPr>
        <w:pStyle w:val="Heading1"/>
        <w:spacing w:after="200" w:before="400"/>
      </w:pPr>
      <w:r>
        <w:t xml:space="preserve">2.9 Problem-to-Outcome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00"/>
      </w:tblGrid>
      <w:tr>
        <w:tc>
          <w:tcPr>
            <w:tcW w:type="dxa" w:w="2200"/>
            <w:shd w:fill="0E7C7B" w:val="clear"/>
          </w:tcPr>
          <w:p>
            <w:r>
              <w:rPr>
                <w:b/>
                <w:bCs/>
                <w:color w:val="FFFFFF"/>
                <w:sz w:val="20"/>
                <w:szCs w:val="20"/>
              </w:rPr>
              <w:t xml:space="preserve">Problem</w:t>
            </w:r>
          </w:p>
        </w:tc>
        <w:tc>
          <w:tcPr>
            <w:tcW w:type="dxa" w:w="1600"/>
            <w:shd w:fill="0E7C7B" w:val="clear"/>
          </w:tcPr>
          <w:p>
            <w:r>
              <w:rPr>
                <w:b/>
                <w:bCs/>
                <w:color w:val="FFFFFF"/>
                <w:sz w:val="20"/>
                <w:szCs w:val="20"/>
              </w:rPr>
              <w:t xml:space="preserve">Business Objective</w:t>
            </w:r>
          </w:p>
        </w:tc>
        <w:tc>
          <w:tcPr>
            <w:tcW w:type="dxa" w:w="1600"/>
            <w:shd w:fill="0E7C7B" w:val="clear"/>
          </w:tcPr>
          <w:p>
            <w:r>
              <w:rPr>
                <w:b/>
                <w:bCs/>
                <w:color w:val="FFFFFF"/>
                <w:sz w:val="20"/>
                <w:szCs w:val="20"/>
              </w:rPr>
              <w:t xml:space="preserve">Requirement</w:t>
            </w:r>
          </w:p>
        </w:tc>
        <w:tc>
          <w:tcPr>
            <w:tcW w:type="dxa" w:w="3600"/>
            <w:shd w:fill="0E7C7B" w:val="clear"/>
          </w:tcPr>
          <w:p>
            <w:r>
              <w:rPr>
                <w:b/>
                <w:bCs/>
                <w:color w:val="FFFFFF"/>
                <w:sz w:val="20"/>
                <w:szCs w:val="20"/>
              </w:rPr>
              <w:t xml:space="preserve">Expected Outcome</w:t>
            </w:r>
          </w:p>
        </w:tc>
      </w:tr>
      <w:tr>
        <w:tc>
          <w:tcPr>
            <w:tcW w:type="dxa" w:w="2200"/>
          </w:tcPr>
          <w:p>
            <w:r>
              <w:rPr>
                <w:b w:val="false"/>
                <w:bCs w:val="false"/>
                <w:color w:val="000000"/>
                <w:sz w:val="20"/>
                <w:szCs w:val="20"/>
              </w:rPr>
              <w:t xml:space="preserve">Scattered information</w:t>
            </w:r>
          </w:p>
        </w:tc>
        <w:tc>
          <w:tcPr>
            <w:tcW w:type="dxa" w:w="1600"/>
          </w:tcPr>
          <w:p>
            <w:r>
              <w:rPr>
                <w:b w:val="false"/>
                <w:bCs w:val="false"/>
                <w:color w:val="000000"/>
                <w:sz w:val="20"/>
                <w:szCs w:val="20"/>
              </w:rPr>
              <w:t xml:space="preserve">BO-01</w:t>
            </w:r>
          </w:p>
        </w:tc>
        <w:tc>
          <w:tcPr>
            <w:tcW w:type="dxa" w:w="1600"/>
          </w:tcPr>
          <w:p>
            <w:r>
              <w:rPr>
                <w:b w:val="false"/>
                <w:bCs w:val="false"/>
                <w:color w:val="000000"/>
                <w:sz w:val="20"/>
                <w:szCs w:val="20"/>
              </w:rPr>
              <w:t xml:space="preserve">BR-01</w:t>
            </w:r>
          </w:p>
        </w:tc>
        <w:tc>
          <w:tcPr>
            <w:tcW w:type="dxa" w:w="3600"/>
          </w:tcPr>
          <w:p>
            <w:r>
              <w:rPr>
                <w:b w:val="false"/>
                <w:bCs w:val="false"/>
                <w:color w:val="000000"/>
                <w:sz w:val="20"/>
                <w:szCs w:val="20"/>
              </w:rPr>
              <w:t xml:space="preserve">Gardeners have one trusted source instead of assembling their own</w:t>
            </w:r>
          </w:p>
        </w:tc>
      </w:tr>
      <w:tr>
        <w:tc>
          <w:tcPr>
            <w:tcW w:type="dxa" w:w="2200"/>
          </w:tcPr>
          <w:p>
            <w:r>
              <w:rPr>
                <w:b w:val="false"/>
                <w:bCs w:val="false"/>
                <w:color w:val="000000"/>
                <w:sz w:val="20"/>
                <w:szCs w:val="20"/>
              </w:rPr>
              <w:t xml:space="preserve">Lack of community</w:t>
            </w:r>
          </w:p>
        </w:tc>
        <w:tc>
          <w:tcPr>
            <w:tcW w:type="dxa" w:w="1600"/>
          </w:tcPr>
          <w:p>
            <w:r>
              <w:rPr>
                <w:b w:val="false"/>
                <w:bCs w:val="false"/>
                <w:color w:val="000000"/>
                <w:sz w:val="20"/>
                <w:szCs w:val="20"/>
              </w:rPr>
              <w:t xml:space="preserve">BO-02</w:t>
            </w:r>
          </w:p>
        </w:tc>
        <w:tc>
          <w:tcPr>
            <w:tcW w:type="dxa" w:w="1600"/>
          </w:tcPr>
          <w:p>
            <w:r>
              <w:rPr>
                <w:b w:val="false"/>
                <w:bCs w:val="false"/>
                <w:color w:val="000000"/>
                <w:sz w:val="20"/>
                <w:szCs w:val="20"/>
              </w:rPr>
              <w:t xml:space="preserve">BR-02</w:t>
            </w:r>
          </w:p>
        </w:tc>
        <w:tc>
          <w:tcPr>
            <w:tcW w:type="dxa" w:w="3600"/>
          </w:tcPr>
          <w:p>
            <w:r>
              <w:rPr>
                <w:b w:val="false"/>
                <w:bCs w:val="false"/>
                <w:color w:val="000000"/>
                <w:sz w:val="20"/>
                <w:szCs w:val="20"/>
              </w:rPr>
              <w:t xml:space="preserve">Gardeners exchange knowledge in a structured, findable way</w:t>
            </w:r>
          </w:p>
        </w:tc>
      </w:tr>
      <w:tr>
        <w:tc>
          <w:tcPr>
            <w:tcW w:type="dxa" w:w="2200"/>
          </w:tcPr>
          <w:p>
            <w:r>
              <w:rPr>
                <w:b w:val="false"/>
                <w:bCs w:val="false"/>
                <w:color w:val="000000"/>
                <w:sz w:val="20"/>
                <w:szCs w:val="20"/>
              </w:rPr>
              <w:t xml:space="preserve">Ineffective tracking</w:t>
            </w:r>
          </w:p>
        </w:tc>
        <w:tc>
          <w:tcPr>
            <w:tcW w:type="dxa" w:w="1600"/>
          </w:tcPr>
          <w:p>
            <w:r>
              <w:rPr>
                <w:b w:val="false"/>
                <w:bCs w:val="false"/>
                <w:color w:val="000000"/>
                <w:sz w:val="20"/>
                <w:szCs w:val="20"/>
              </w:rPr>
              <w:t xml:space="preserve">BO-03</w:t>
            </w:r>
          </w:p>
        </w:tc>
        <w:tc>
          <w:tcPr>
            <w:tcW w:type="dxa" w:w="1600"/>
          </w:tcPr>
          <w:p>
            <w:r>
              <w:rPr>
                <w:b w:val="false"/>
                <w:bCs w:val="false"/>
                <w:color w:val="000000"/>
                <w:sz w:val="20"/>
                <w:szCs w:val="20"/>
              </w:rPr>
              <w:t xml:space="preserve">BR-03</w:t>
            </w:r>
          </w:p>
        </w:tc>
        <w:tc>
          <w:tcPr>
            <w:tcW w:type="dxa" w:w="3600"/>
          </w:tcPr>
          <w:p>
            <w:r>
              <w:rPr>
                <w:b w:val="false"/>
                <w:bCs w:val="false"/>
                <w:color w:val="000000"/>
                <w:sz w:val="20"/>
                <w:szCs w:val="20"/>
              </w:rPr>
              <w:t xml:space="preserve">Gardeners stay engaged because their progress is visible</w:t>
            </w:r>
          </w:p>
        </w:tc>
      </w:tr>
    </w:tbl>
    <w:p>
      <w:pPr>
        <w:pStyle w:val="Heading1"/>
        <w:spacing w:after="200" w:before="400"/>
      </w:pPr>
      <w:r>
        <w:t xml:space="preserve">2.10 Delivery Reflection</w:t>
      </w:r>
    </w:p>
    <w:p>
      <w:pPr>
        <w:spacing w:after="160"/>
      </w:pPr>
      <w:r>
        <w:t xml:space="preserve">The real trade-off in this section was how much weight to give the root-cause analysis before moving to requirements. It would have been faster to take GreenSphere's three problems at face value and move straight into feature definition.</w:t>
      </w:r>
    </w:p>
    <w:p>
      <w:pPr>
        <w:spacing w:after="160"/>
      </w:pPr>
      <w:r>
        <w:t xml:space="preserve">I chose to root-cause each one instead, because the 5 Whys work surfaced a distinction that matters for scope: Problem 2's actual gap is the absence of domain-specific structure around community, not the absence of community itself.</w:t>
      </w:r>
    </w:p>
    <w:p>
      <w:pPr>
        <w:spacing w:after="160"/>
      </w:pPr>
      <w:r>
        <w:t xml:space="preserve">That distinction changes what Community Forum actually needs to do in Section 4, and skipping this step would have meant discovering that difference later, after design or backlog work had already assumed otherwise.</w:t>
      </w:r>
    </w:p>
    <w:p>
      <w:pPr>
        <w:pStyle w:val="Heading1"/>
        <w:spacing w:after="200" w:before="400"/>
      </w:pPr>
      <w:r>
        <w:t xml:space="preserve">2.11 Executive Takeaway</w:t>
      </w:r>
    </w:p>
    <w:p>
      <w:pPr>
        <w:spacing w:after="160"/>
      </w:pPr>
      <w:r>
        <w:t xml:space="preserve">Each of GreenSphere's three stated problems has a distinct root cause, not just a distinct symptom, and each now traces to a specific business objective and requirement. This gives the engagement a defensible line from problem to solution before any feature work begins, which is what Section 3 builds on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2026-08-21T01:21:54.659Z</dcterms:created>
  <dcterms:modified xsi:type="dcterms:W3CDTF">2026-08-21T01:21:54.659Z</dcterms:modified>
</cp:coreProperties>
</file>

<file path=docProps/custom.xml><?xml version="1.0" encoding="utf-8"?>
<Properties xmlns="http://schemas.openxmlformats.org/officeDocument/2006/custom-properties" xmlns:vt="http://schemas.openxmlformats.org/officeDocument/2006/docPropsVTypes"/>
</file>