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3: Requirements Engineering</w:t>
      </w:r>
    </w:p>
    <w:p>
      <w:pPr>
        <w:spacing w:after="400"/>
      </w:pPr>
      <w:r>
        <w:rPr>
          <w:color w:val="5A6B6B"/>
          <w:sz w:val="22"/>
          <w:szCs w:val="22"/>
        </w:rPr>
        <w:t xml:space="preserve">Prepared by Doris Frank, Business Analyst</w:t>
      </w:r>
    </w:p>
    <w:p>
      <w:pPr>
        <w:pStyle w:val="Heading1"/>
        <w:spacing w:after="200" w:before="400"/>
      </w:pPr>
      <w:r>
        <w:t xml:space="preserve">3.1 Requirements Catalogue</w:t>
      </w:r>
    </w:p>
    <w:p>
      <w:pPr>
        <w:spacing w:after="160"/>
      </w:pPr>
      <w:r>
        <w:t xml:space="preserve">I organised the requirements below by the three core capabilities, Plant Library, Community Forum, and Harvest Tracker, and traced each one directly back to the four business requirements established in Section 2 (BR-01 through BR-04), so nothing here floats free of a business justification.</w:t>
      </w:r>
    </w:p>
    <w:p>
      <w:pPr>
        <w:pStyle w:val="Heading1"/>
        <w:spacing w:after="200" w:before="400"/>
      </w:pPr>
      <w:r>
        <w:t xml:space="preserve">3.2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800"/>
        <w:gridCol w:w="1000"/>
      </w:tblGrid>
      <w:tr>
        <w:tc>
          <w:tcPr>
            <w:tcW w:type="dxa" w:w="900"/>
            <w:shd w:fill="0E7C7B" w:val="clear"/>
          </w:tcPr>
          <w:p>
            <w:r>
              <w:rPr>
                <w:b/>
                <w:bCs/>
                <w:color w:val="FFFFFF"/>
                <w:sz w:val="20"/>
                <w:szCs w:val="20"/>
              </w:rPr>
              <w:t xml:space="preserve">ID</w:t>
            </w:r>
          </w:p>
        </w:tc>
        <w:tc>
          <w:tcPr>
            <w:tcW w:type="dxa" w:w="4600"/>
            <w:shd w:fill="0E7C7B" w:val="clear"/>
          </w:tcPr>
          <w:p>
            <w:r>
              <w:rPr>
                <w:b/>
                <w:bCs/>
                <w:color w:val="FFFFFF"/>
                <w:sz w:val="20"/>
                <w:szCs w:val="20"/>
              </w:rPr>
              <w:t xml:space="preserve">Requirement</w:t>
            </w:r>
          </w:p>
        </w:tc>
        <w:tc>
          <w:tcPr>
            <w:tcW w:type="dxa" w:w="1800"/>
            <w:shd w:fill="0E7C7B" w:val="clear"/>
          </w:tcPr>
          <w:p>
            <w:r>
              <w:rPr>
                <w:b/>
                <w:bCs/>
                <w:color w:val="FFFFFF"/>
                <w:sz w:val="20"/>
                <w:szCs w:val="20"/>
              </w:rPr>
              <w:t xml:space="preserve">Capability</w:t>
            </w:r>
          </w:p>
        </w:tc>
        <w:tc>
          <w:tcPr>
            <w:tcW w:type="dxa" w:w="1000"/>
            <w:shd w:fill="0E7C7B" w:val="clear"/>
          </w:tcPr>
          <w:p>
            <w:r>
              <w:rPr>
                <w:b/>
                <w:bCs/>
                <w:color w:val="FFFFFF"/>
                <w:sz w:val="20"/>
                <w:szCs w:val="20"/>
              </w:rPr>
              <w:t xml:space="preserve">Traces to</w:t>
            </w:r>
          </w:p>
        </w:tc>
      </w:tr>
      <w:tr>
        <w:tc>
          <w:tcPr>
            <w:tcW w:type="dxa" w:w="900"/>
          </w:tcPr>
          <w:p>
            <w:r>
              <w:rPr>
                <w:b w:val="false"/>
                <w:bCs w:val="false"/>
                <w:color w:val="000000"/>
                <w:sz w:val="20"/>
                <w:szCs w:val="20"/>
              </w:rPr>
              <w:t xml:space="preserve">FR-01</w:t>
            </w:r>
          </w:p>
        </w:tc>
        <w:tc>
          <w:tcPr>
            <w:tcW w:type="dxa" w:w="4600"/>
          </w:tcPr>
          <w:p>
            <w:r>
              <w:rPr>
                <w:b w:val="false"/>
                <w:bCs w:val="false"/>
                <w:color w:val="000000"/>
                <w:sz w:val="20"/>
                <w:szCs w:val="20"/>
              </w:rPr>
              <w:t xml:space="preserve">A gardener can search the Plant Library by plant name, type, or growing condition</w:t>
            </w:r>
          </w:p>
        </w:tc>
        <w:tc>
          <w:tcPr>
            <w:tcW w:type="dxa" w:w="1800"/>
          </w:tcPr>
          <w:p>
            <w:r>
              <w:rPr>
                <w:b w:val="false"/>
                <w:bCs w:val="false"/>
                <w:color w:val="000000"/>
                <w:sz w:val="20"/>
                <w:szCs w:val="20"/>
              </w:rPr>
              <w:t xml:space="preserve">Plant Library</w:t>
            </w:r>
          </w:p>
        </w:tc>
        <w:tc>
          <w:tcPr>
            <w:tcW w:type="dxa" w:w="1000"/>
          </w:tcPr>
          <w:p>
            <w:r>
              <w:rPr>
                <w:b w:val="false"/>
                <w:bCs w:val="false"/>
                <w:color w:val="000000"/>
                <w:sz w:val="20"/>
                <w:szCs w:val="20"/>
              </w:rPr>
              <w:t xml:space="preserve">BR-01</w:t>
            </w:r>
          </w:p>
        </w:tc>
      </w:tr>
      <w:tr>
        <w:tc>
          <w:tcPr>
            <w:tcW w:type="dxa" w:w="900"/>
          </w:tcPr>
          <w:p>
            <w:r>
              <w:rPr>
                <w:b w:val="false"/>
                <w:bCs w:val="false"/>
                <w:color w:val="000000"/>
                <w:sz w:val="20"/>
                <w:szCs w:val="20"/>
              </w:rPr>
              <w:t xml:space="preserve">FR-02</w:t>
            </w:r>
          </w:p>
        </w:tc>
        <w:tc>
          <w:tcPr>
            <w:tcW w:type="dxa" w:w="4600"/>
          </w:tcPr>
          <w:p>
            <w:r>
              <w:rPr>
                <w:b w:val="false"/>
                <w:bCs w:val="false"/>
                <w:color w:val="000000"/>
                <w:sz w:val="20"/>
                <w:szCs w:val="20"/>
              </w:rPr>
              <w:t xml:space="preserve">Plant Library entries display care information vetted against a defined content standard</w:t>
            </w:r>
          </w:p>
        </w:tc>
        <w:tc>
          <w:tcPr>
            <w:tcW w:type="dxa" w:w="1800"/>
          </w:tcPr>
          <w:p>
            <w:r>
              <w:rPr>
                <w:b w:val="false"/>
                <w:bCs w:val="false"/>
                <w:color w:val="000000"/>
                <w:sz w:val="20"/>
                <w:szCs w:val="20"/>
              </w:rPr>
              <w:t xml:space="preserve">Plant Library</w:t>
            </w:r>
          </w:p>
        </w:tc>
        <w:tc>
          <w:tcPr>
            <w:tcW w:type="dxa" w:w="1000"/>
          </w:tcPr>
          <w:p>
            <w:r>
              <w:rPr>
                <w:b w:val="false"/>
                <w:bCs w:val="false"/>
                <w:color w:val="000000"/>
                <w:sz w:val="20"/>
                <w:szCs w:val="20"/>
              </w:rPr>
              <w:t xml:space="preserve">BR-01</w:t>
            </w:r>
          </w:p>
        </w:tc>
      </w:tr>
      <w:tr>
        <w:tc>
          <w:tcPr>
            <w:tcW w:type="dxa" w:w="900"/>
          </w:tcPr>
          <w:p>
            <w:r>
              <w:rPr>
                <w:b w:val="false"/>
                <w:bCs w:val="false"/>
                <w:color w:val="000000"/>
                <w:sz w:val="20"/>
                <w:szCs w:val="20"/>
              </w:rPr>
              <w:t xml:space="preserve">FR-03</w:t>
            </w:r>
          </w:p>
        </w:tc>
        <w:tc>
          <w:tcPr>
            <w:tcW w:type="dxa" w:w="4600"/>
          </w:tcPr>
          <w:p>
            <w:r>
              <w:rPr>
                <w:b w:val="false"/>
                <w:bCs w:val="false"/>
                <w:color w:val="000000"/>
                <w:sz w:val="20"/>
                <w:szCs w:val="20"/>
              </w:rPr>
              <w:t xml:space="preserve">A gardener can post a question or piece of knowledge to the Community Forum, tagged by plant type, season, or region</w:t>
            </w:r>
          </w:p>
        </w:tc>
        <w:tc>
          <w:tcPr>
            <w:tcW w:type="dxa" w:w="1800"/>
          </w:tcPr>
          <w:p>
            <w:r>
              <w:rPr>
                <w:b w:val="false"/>
                <w:bCs w:val="false"/>
                <w:color w:val="000000"/>
                <w:sz w:val="20"/>
                <w:szCs w:val="20"/>
              </w:rPr>
              <w:t xml:space="preserve">Community Forum</w:t>
            </w:r>
          </w:p>
        </w:tc>
        <w:tc>
          <w:tcPr>
            <w:tcW w:type="dxa" w:w="1000"/>
          </w:tcPr>
          <w:p>
            <w:r>
              <w:rPr>
                <w:b w:val="false"/>
                <w:bCs w:val="false"/>
                <w:color w:val="000000"/>
                <w:sz w:val="20"/>
                <w:szCs w:val="20"/>
              </w:rPr>
              <w:t xml:space="preserve">BR-02</w:t>
            </w:r>
          </w:p>
        </w:tc>
      </w:tr>
      <w:tr>
        <w:tc>
          <w:tcPr>
            <w:tcW w:type="dxa" w:w="900"/>
          </w:tcPr>
          <w:p>
            <w:r>
              <w:rPr>
                <w:b w:val="false"/>
                <w:bCs w:val="false"/>
                <w:color w:val="000000"/>
                <w:sz w:val="20"/>
                <w:szCs w:val="20"/>
              </w:rPr>
              <w:t xml:space="preserve">FR-04</w:t>
            </w:r>
          </w:p>
        </w:tc>
        <w:tc>
          <w:tcPr>
            <w:tcW w:type="dxa" w:w="4600"/>
          </w:tcPr>
          <w:p>
            <w:r>
              <w:rPr>
                <w:b w:val="false"/>
                <w:bCs w:val="false"/>
                <w:color w:val="000000"/>
                <w:sz w:val="20"/>
                <w:szCs w:val="20"/>
              </w:rPr>
              <w:t xml:space="preserve">A gardener can respond to another gardener's forum post</w:t>
            </w:r>
          </w:p>
        </w:tc>
        <w:tc>
          <w:tcPr>
            <w:tcW w:type="dxa" w:w="1800"/>
          </w:tcPr>
          <w:p>
            <w:r>
              <w:rPr>
                <w:b w:val="false"/>
                <w:bCs w:val="false"/>
                <w:color w:val="000000"/>
                <w:sz w:val="20"/>
                <w:szCs w:val="20"/>
              </w:rPr>
              <w:t xml:space="preserve">Community Forum</w:t>
            </w:r>
          </w:p>
        </w:tc>
        <w:tc>
          <w:tcPr>
            <w:tcW w:type="dxa" w:w="1000"/>
          </w:tcPr>
          <w:p>
            <w:r>
              <w:rPr>
                <w:b w:val="false"/>
                <w:bCs w:val="false"/>
                <w:color w:val="000000"/>
                <w:sz w:val="20"/>
                <w:szCs w:val="20"/>
              </w:rPr>
              <w:t xml:space="preserve">BR-02</w:t>
            </w:r>
          </w:p>
        </w:tc>
      </w:tr>
      <w:tr>
        <w:tc>
          <w:tcPr>
            <w:tcW w:type="dxa" w:w="900"/>
          </w:tcPr>
          <w:p>
            <w:r>
              <w:rPr>
                <w:b w:val="false"/>
                <w:bCs w:val="false"/>
                <w:color w:val="000000"/>
                <w:sz w:val="20"/>
                <w:szCs w:val="20"/>
              </w:rPr>
              <w:t xml:space="preserve">FR-05</w:t>
            </w:r>
          </w:p>
        </w:tc>
        <w:tc>
          <w:tcPr>
            <w:tcW w:type="dxa" w:w="4600"/>
          </w:tcPr>
          <w:p>
            <w:r>
              <w:rPr>
                <w:b w:val="false"/>
                <w:bCs w:val="false"/>
                <w:color w:val="000000"/>
                <w:sz w:val="20"/>
                <w:szCs w:val="20"/>
              </w:rPr>
              <w:t xml:space="preserve">A gardener can log a planting event, including plant type and date</w:t>
            </w:r>
          </w:p>
        </w:tc>
        <w:tc>
          <w:tcPr>
            <w:tcW w:type="dxa" w:w="1800"/>
          </w:tcPr>
          <w:p>
            <w:r>
              <w:rPr>
                <w:b w:val="false"/>
                <w:bCs w:val="false"/>
                <w:color w:val="000000"/>
                <w:sz w:val="20"/>
                <w:szCs w:val="20"/>
              </w:rPr>
              <w:t xml:space="preserve">Harvest Tracker</w:t>
            </w:r>
          </w:p>
        </w:tc>
        <w:tc>
          <w:tcPr>
            <w:tcW w:type="dxa" w:w="1000"/>
          </w:tcPr>
          <w:p>
            <w:r>
              <w:rPr>
                <w:b w:val="false"/>
                <w:bCs w:val="false"/>
                <w:color w:val="000000"/>
                <w:sz w:val="20"/>
                <w:szCs w:val="20"/>
              </w:rPr>
              <w:t xml:space="preserve">BR-03</w:t>
            </w:r>
          </w:p>
        </w:tc>
      </w:tr>
      <w:tr>
        <w:tc>
          <w:tcPr>
            <w:tcW w:type="dxa" w:w="900"/>
          </w:tcPr>
          <w:p>
            <w:r>
              <w:rPr>
                <w:b w:val="false"/>
                <w:bCs w:val="false"/>
                <w:color w:val="000000"/>
                <w:sz w:val="20"/>
                <w:szCs w:val="20"/>
              </w:rPr>
              <w:t xml:space="preserve">FR-06</w:t>
            </w:r>
          </w:p>
        </w:tc>
        <w:tc>
          <w:tcPr>
            <w:tcW w:type="dxa" w:w="4600"/>
          </w:tcPr>
          <w:p>
            <w:r>
              <w:rPr>
                <w:b w:val="false"/>
                <w:bCs w:val="false"/>
                <w:color w:val="000000"/>
                <w:sz w:val="20"/>
                <w:szCs w:val="20"/>
              </w:rPr>
              <w:t xml:space="preserve">A gardener can record a harvest against a previously logged planting</w:t>
            </w:r>
          </w:p>
        </w:tc>
        <w:tc>
          <w:tcPr>
            <w:tcW w:type="dxa" w:w="1800"/>
          </w:tcPr>
          <w:p>
            <w:r>
              <w:rPr>
                <w:b w:val="false"/>
                <w:bCs w:val="false"/>
                <w:color w:val="000000"/>
                <w:sz w:val="20"/>
                <w:szCs w:val="20"/>
              </w:rPr>
              <w:t xml:space="preserve">Harvest Tracker</w:t>
            </w:r>
          </w:p>
        </w:tc>
        <w:tc>
          <w:tcPr>
            <w:tcW w:type="dxa" w:w="1000"/>
          </w:tcPr>
          <w:p>
            <w:r>
              <w:rPr>
                <w:b w:val="false"/>
                <w:bCs w:val="false"/>
                <w:color w:val="000000"/>
                <w:sz w:val="20"/>
                <w:szCs w:val="20"/>
              </w:rPr>
              <w:t xml:space="preserve">BR-03</w:t>
            </w:r>
          </w:p>
        </w:tc>
      </w:tr>
      <w:tr>
        <w:tc>
          <w:tcPr>
            <w:tcW w:type="dxa" w:w="900"/>
          </w:tcPr>
          <w:p>
            <w:r>
              <w:rPr>
                <w:b w:val="false"/>
                <w:bCs w:val="false"/>
                <w:color w:val="000000"/>
                <w:sz w:val="20"/>
                <w:szCs w:val="20"/>
              </w:rPr>
              <w:t xml:space="preserve">FR-07</w:t>
            </w:r>
          </w:p>
        </w:tc>
        <w:tc>
          <w:tcPr>
            <w:tcW w:type="dxa" w:w="4600"/>
          </w:tcPr>
          <w:p>
            <w:r>
              <w:rPr>
                <w:b w:val="false"/>
                <w:bCs w:val="false"/>
                <w:color w:val="000000"/>
                <w:sz w:val="20"/>
                <w:szCs w:val="20"/>
              </w:rPr>
              <w:t xml:space="preserve">A gardener can view a visual timeline of their own tracked activity</w:t>
            </w:r>
          </w:p>
        </w:tc>
        <w:tc>
          <w:tcPr>
            <w:tcW w:type="dxa" w:w="1800"/>
          </w:tcPr>
          <w:p>
            <w:r>
              <w:rPr>
                <w:b w:val="false"/>
                <w:bCs w:val="false"/>
                <w:color w:val="000000"/>
                <w:sz w:val="20"/>
                <w:szCs w:val="20"/>
              </w:rPr>
              <w:t xml:space="preserve">Harvest Tracker</w:t>
            </w:r>
          </w:p>
        </w:tc>
        <w:tc>
          <w:tcPr>
            <w:tcW w:type="dxa" w:w="1000"/>
          </w:tcPr>
          <w:p>
            <w:r>
              <w:rPr>
                <w:b w:val="false"/>
                <w:bCs w:val="false"/>
                <w:color w:val="000000"/>
                <w:sz w:val="20"/>
                <w:szCs w:val="20"/>
              </w:rPr>
              <w:t xml:space="preserve">BR-03</w:t>
            </w:r>
          </w:p>
        </w:tc>
      </w:tr>
      <w:tr>
        <w:tc>
          <w:tcPr>
            <w:tcW w:type="dxa" w:w="900"/>
          </w:tcPr>
          <w:p>
            <w:r>
              <w:rPr>
                <w:b w:val="false"/>
                <w:bCs w:val="false"/>
                <w:color w:val="000000"/>
                <w:sz w:val="20"/>
                <w:szCs w:val="20"/>
              </w:rPr>
              <w:t xml:space="preserve">FR-08</w:t>
            </w:r>
          </w:p>
        </w:tc>
        <w:tc>
          <w:tcPr>
            <w:tcW w:type="dxa" w:w="4600"/>
          </w:tcPr>
          <w:p>
            <w:r>
              <w:rPr>
                <w:b w:val="false"/>
                <w:bCs w:val="false"/>
                <w:color w:val="000000"/>
                <w:sz w:val="20"/>
                <w:szCs w:val="20"/>
              </w:rPr>
              <w:t xml:space="preserve">The system captures anonymised usage events across all three capabilities for reporting</w:t>
            </w:r>
          </w:p>
        </w:tc>
        <w:tc>
          <w:tcPr>
            <w:tcW w:type="dxa" w:w="1800"/>
          </w:tcPr>
          <w:p>
            <w:r>
              <w:rPr>
                <w:b w:val="false"/>
                <w:bCs w:val="false"/>
                <w:color w:val="000000"/>
                <w:sz w:val="20"/>
                <w:szCs w:val="20"/>
              </w:rPr>
              <w:t xml:space="preserve">Cross-capability</w:t>
            </w:r>
          </w:p>
        </w:tc>
        <w:tc>
          <w:tcPr>
            <w:tcW w:type="dxa" w:w="1000"/>
          </w:tcPr>
          <w:p>
            <w:r>
              <w:rPr>
                <w:b w:val="false"/>
                <w:bCs w:val="false"/>
                <w:color w:val="000000"/>
                <w:sz w:val="20"/>
                <w:szCs w:val="20"/>
              </w:rPr>
              <w:t xml:space="preserve">BR-04</w:t>
            </w:r>
          </w:p>
        </w:tc>
      </w:tr>
      <w:tr>
        <w:tc>
          <w:tcPr>
            <w:tcW w:type="dxa" w:w="900"/>
          </w:tcPr>
          <w:p>
            <w:r>
              <w:rPr>
                <w:b w:val="false"/>
                <w:bCs w:val="false"/>
                <w:color w:val="000000"/>
                <w:sz w:val="20"/>
                <w:szCs w:val="20"/>
              </w:rPr>
              <w:t xml:space="preserve">FR-09</w:t>
            </w:r>
          </w:p>
        </w:tc>
        <w:tc>
          <w:tcPr>
            <w:tcW w:type="dxa" w:w="4600"/>
          </w:tcPr>
          <w:p>
            <w:r>
              <w:rPr>
                <w:b w:val="false"/>
                <w:bCs w:val="false"/>
                <w:color w:val="000000"/>
                <w:sz w:val="20"/>
                <w:szCs w:val="20"/>
              </w:rPr>
              <w:t xml:space="preserve">The system captures lightweight satisfaction feedback at natural completion points, starting with a single-tap rating after a harvest is logged</w:t>
            </w:r>
          </w:p>
        </w:tc>
        <w:tc>
          <w:tcPr>
            <w:tcW w:type="dxa" w:w="1800"/>
          </w:tcPr>
          <w:p>
            <w:r>
              <w:rPr>
                <w:b w:val="false"/>
                <w:bCs w:val="false"/>
                <w:color w:val="000000"/>
                <w:sz w:val="20"/>
                <w:szCs w:val="20"/>
              </w:rPr>
              <w:t xml:space="preserve">Harvest Tracker</w:t>
            </w:r>
          </w:p>
        </w:tc>
        <w:tc>
          <w:tcPr>
            <w:tcW w:type="dxa" w:w="1000"/>
          </w:tcPr>
          <w:p>
            <w:r>
              <w:rPr>
                <w:b w:val="false"/>
                <w:bCs w:val="false"/>
                <w:color w:val="000000"/>
                <w:sz w:val="20"/>
                <w:szCs w:val="20"/>
              </w:rPr>
              <w:t xml:space="preserve">BR-04</w:t>
            </w:r>
          </w:p>
        </w:tc>
      </w:tr>
    </w:tbl>
    <w:p>
      <w:pPr>
        <w:spacing w:after="160"/>
      </w:pPr>
      <w:r>
        <w:t xml:space="preserve">FR-09 was added after Section 4's Power BI planning surfaced a real gap: Customer Satisfaction was listed as a reporting metric with no defined collection mechanism anywhere upstream. Rather than bolt on a separate survey system, it extends FR-08's existing usage-event infrastructure.</w:t>
      </w:r>
    </w:p>
    <w:p>
      <w:pPr>
        <w:pStyle w:val="Heading1"/>
        <w:spacing w:after="200" w:before="400"/>
      </w:pPr>
      <w:r>
        <w:t xml:space="preserve">3.3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200"/>
      </w:tblGrid>
      <w:tr>
        <w:tc>
          <w:tcPr>
            <w:tcW w:type="dxa" w:w="900"/>
            <w:shd w:fill="0E7C7B" w:val="clear"/>
          </w:tcPr>
          <w:p>
            <w:r>
              <w:rPr>
                <w:b/>
                <w:bCs/>
                <w:color w:val="FFFFFF"/>
                <w:sz w:val="20"/>
                <w:szCs w:val="20"/>
              </w:rPr>
              <w:t xml:space="preserve">ID</w:t>
            </w:r>
          </w:p>
        </w:tc>
        <w:tc>
          <w:tcPr>
            <w:tcW w:type="dxa" w:w="5600"/>
            <w:shd w:fill="0E7C7B" w:val="clear"/>
          </w:tcPr>
          <w:p>
            <w:r>
              <w:rPr>
                <w:b/>
                <w:bCs/>
                <w:color w:val="FFFFFF"/>
                <w:sz w:val="20"/>
                <w:szCs w:val="20"/>
              </w:rPr>
              <w:t xml:space="preserve">Requirement</w:t>
            </w:r>
          </w:p>
        </w:tc>
        <w:tc>
          <w:tcPr>
            <w:tcW w:type="dxa" w:w="2200"/>
            <w:shd w:fill="0E7C7B" w:val="clear"/>
          </w:tcPr>
          <w:p>
            <w:r>
              <w:rPr>
                <w:b/>
                <w:bCs/>
                <w:color w:val="FFFFFF"/>
                <w:sz w:val="20"/>
                <w:szCs w:val="20"/>
              </w:rPr>
              <w:t xml:space="preserve">Traces to</w:t>
            </w:r>
          </w:p>
        </w:tc>
      </w:tr>
      <w:tr>
        <w:tc>
          <w:tcPr>
            <w:tcW w:type="dxa" w:w="900"/>
          </w:tcPr>
          <w:p>
            <w:r>
              <w:rPr>
                <w:b w:val="false"/>
                <w:bCs w:val="false"/>
                <w:color w:val="000000"/>
                <w:sz w:val="20"/>
                <w:szCs w:val="20"/>
              </w:rPr>
              <w:t xml:space="preserve">NFR-01</w:t>
            </w:r>
          </w:p>
        </w:tc>
        <w:tc>
          <w:tcPr>
            <w:tcW w:type="dxa" w:w="5600"/>
          </w:tcPr>
          <w:p>
            <w:r>
              <w:rPr>
                <w:b w:val="false"/>
                <w:bCs w:val="false"/>
                <w:color w:val="000000"/>
                <w:sz w:val="20"/>
                <w:szCs w:val="20"/>
              </w:rPr>
              <w:t xml:space="preserve">Plant Library search returns results within 2 seconds under normal load</w:t>
            </w:r>
          </w:p>
        </w:tc>
        <w:tc>
          <w:tcPr>
            <w:tcW w:type="dxa" w:w="2200"/>
          </w:tcPr>
          <w:p>
            <w:r>
              <w:rPr>
                <w:b w:val="false"/>
                <w:bCs w:val="false"/>
                <w:color w:val="000000"/>
                <w:sz w:val="20"/>
                <w:szCs w:val="20"/>
              </w:rPr>
              <w:t xml:space="preserve">Usability, Section 2.8</w:t>
            </w:r>
          </w:p>
        </w:tc>
      </w:tr>
      <w:tr>
        <w:tc>
          <w:tcPr>
            <w:tcW w:type="dxa" w:w="900"/>
          </w:tcPr>
          <w:p>
            <w:r>
              <w:rPr>
                <w:b w:val="false"/>
                <w:bCs w:val="false"/>
                <w:color w:val="000000"/>
                <w:sz w:val="20"/>
                <w:szCs w:val="20"/>
              </w:rPr>
              <w:t xml:space="preserve">NFR-02</w:t>
            </w:r>
          </w:p>
        </w:tc>
        <w:tc>
          <w:tcPr>
            <w:tcW w:type="dxa" w:w="5600"/>
          </w:tcPr>
          <w:p>
            <w:r>
              <w:rPr>
                <w:b w:val="false"/>
                <w:bCs w:val="false"/>
                <w:color w:val="000000"/>
                <w:sz w:val="20"/>
                <w:szCs w:val="20"/>
              </w:rPr>
              <w:t xml:space="preserve">Forum content is moderated or flaggable to maintain community trust</w:t>
            </w:r>
          </w:p>
        </w:tc>
        <w:tc>
          <w:tcPr>
            <w:tcW w:type="dxa" w:w="2200"/>
          </w:tcPr>
          <w:p>
            <w:r>
              <w:rPr>
                <w:b w:val="false"/>
                <w:bCs w:val="false"/>
                <w:color w:val="000000"/>
                <w:sz w:val="20"/>
                <w:szCs w:val="20"/>
              </w:rPr>
              <w:t xml:space="preserve">Usability, Section 2.8</w:t>
            </w:r>
          </w:p>
        </w:tc>
      </w:tr>
      <w:tr>
        <w:tc>
          <w:tcPr>
            <w:tcW w:type="dxa" w:w="900"/>
          </w:tcPr>
          <w:p>
            <w:r>
              <w:rPr>
                <w:b w:val="false"/>
                <w:bCs w:val="false"/>
                <w:color w:val="000000"/>
                <w:sz w:val="20"/>
                <w:szCs w:val="20"/>
              </w:rPr>
              <w:t xml:space="preserve">NFR-03</w:t>
            </w:r>
          </w:p>
        </w:tc>
        <w:tc>
          <w:tcPr>
            <w:tcW w:type="dxa" w:w="5600"/>
          </w:tcPr>
          <w:p>
            <w:r>
              <w:rPr>
                <w:b w:val="false"/>
                <w:bCs w:val="false"/>
                <w:color w:val="000000"/>
                <w:sz w:val="20"/>
                <w:szCs w:val="20"/>
              </w:rPr>
              <w:t xml:space="preserve">Usage data capture (FR-08) is validated at point of collection, not cleaned retroactively</w:t>
            </w:r>
          </w:p>
        </w:tc>
        <w:tc>
          <w:tcPr>
            <w:tcW w:type="dxa" w:w="2200"/>
          </w:tcPr>
          <w:p>
            <w:r>
              <w:rPr>
                <w:b w:val="false"/>
                <w:bCs w:val="false"/>
                <w:color w:val="000000"/>
                <w:sz w:val="20"/>
                <w:szCs w:val="20"/>
              </w:rPr>
              <w:t xml:space="preserve">Data integrity, Section 2.8</w:t>
            </w:r>
          </w:p>
        </w:tc>
      </w:tr>
      <w:tr>
        <w:tc>
          <w:tcPr>
            <w:tcW w:type="dxa" w:w="900"/>
          </w:tcPr>
          <w:p>
            <w:r>
              <w:rPr>
                <w:b w:val="false"/>
                <w:bCs w:val="false"/>
                <w:color w:val="000000"/>
                <w:sz w:val="20"/>
                <w:szCs w:val="20"/>
              </w:rPr>
              <w:t xml:space="preserve">NFR-04</w:t>
            </w:r>
          </w:p>
        </w:tc>
        <w:tc>
          <w:tcPr>
            <w:tcW w:type="dxa" w:w="5600"/>
          </w:tcPr>
          <w:p>
            <w:r>
              <w:rPr>
                <w:b w:val="false"/>
                <w:bCs w:val="false"/>
                <w:color w:val="000000"/>
                <w:sz w:val="20"/>
                <w:szCs w:val="20"/>
              </w:rPr>
              <w:t xml:space="preserve">Community Forum architecture supports horizontal scaling of both users and content volume</w:t>
            </w:r>
          </w:p>
        </w:tc>
        <w:tc>
          <w:tcPr>
            <w:tcW w:type="dxa" w:w="2200"/>
          </w:tcPr>
          <w:p>
            <w:r>
              <w:rPr>
                <w:b w:val="false"/>
                <w:bCs w:val="false"/>
                <w:color w:val="000000"/>
                <w:sz w:val="20"/>
                <w:szCs w:val="20"/>
              </w:rPr>
              <w:t xml:space="preserve">Scalability, Section 2.8</w:t>
            </w:r>
          </w:p>
        </w:tc>
      </w:tr>
    </w:tbl>
    <w:p>
      <w:pPr>
        <w:pStyle w:val="Heading1"/>
        <w:spacing w:after="200" w:before="400"/>
      </w:pPr>
      <w:r>
        <w:t xml:space="preserve">3.4 Prioritisation</w:t>
      </w:r>
    </w:p>
    <w:p>
      <w:pPr>
        <w:spacing w:after="160"/>
      </w:pPr>
      <w:r>
        <w:t xml:space="preserve">I prioritised these using MoSCoW, weighted against which capability the MVP decision in Section 4 treats as primary.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600"/>
      </w:tblGrid>
      <w:tr>
        <w:tc>
          <w:tcPr>
            <w:tcW w:type="dxa" w:w="900"/>
            <w:shd w:fill="0E7C7B" w:val="clear"/>
          </w:tcPr>
          <w:p>
            <w:r>
              <w:rPr>
                <w:b/>
                <w:bCs/>
                <w:color w:val="FFFFFF"/>
                <w:sz w:val="20"/>
                <w:szCs w:val="20"/>
              </w:rPr>
              <w:t xml:space="preserve">ID</w:t>
            </w:r>
          </w:p>
        </w:tc>
        <w:tc>
          <w:tcPr>
            <w:tcW w:type="dxa" w:w="1200"/>
            <w:shd w:fill="0E7C7B" w:val="clear"/>
          </w:tcPr>
          <w:p>
            <w:r>
              <w:rPr>
                <w:b/>
                <w:bCs/>
                <w:color w:val="FFFFFF"/>
                <w:sz w:val="20"/>
                <w:szCs w:val="20"/>
              </w:rPr>
              <w:t xml:space="preserve">Priority</w:t>
            </w:r>
          </w:p>
        </w:tc>
        <w:tc>
          <w:tcPr>
            <w:tcW w:type="dxa" w:w="6600"/>
            <w:shd w:fill="0E7C7B" w:val="clear"/>
          </w:tcPr>
          <w:p>
            <w:r>
              <w:rPr>
                <w:b/>
                <w:bCs/>
                <w:color w:val="FFFFFF"/>
                <w:sz w:val="20"/>
                <w:szCs w:val="20"/>
              </w:rPr>
              <w:t xml:space="preserve">Rationale</w:t>
            </w:r>
          </w:p>
        </w:tc>
      </w:tr>
      <w:tr>
        <w:tc>
          <w:tcPr>
            <w:tcW w:type="dxa" w:w="900"/>
          </w:tcPr>
          <w:p>
            <w:r>
              <w:rPr>
                <w:b w:val="false"/>
                <w:bCs w:val="false"/>
                <w:color w:val="000000"/>
                <w:sz w:val="20"/>
                <w:szCs w:val="20"/>
              </w:rPr>
              <w:t xml:space="preserve">FR-01</w:t>
            </w:r>
          </w:p>
        </w:tc>
        <w:tc>
          <w:tcPr>
            <w:tcW w:type="dxa" w:w="1200"/>
          </w:tcPr>
          <w:p>
            <w:r>
              <w:rPr>
                <w:b w:val="false"/>
                <w:bCs w:val="false"/>
                <w:color w:val="000000"/>
                <w:sz w:val="20"/>
                <w:szCs w:val="20"/>
              </w:rPr>
              <w:t xml:space="preserve">Must</w:t>
            </w:r>
          </w:p>
        </w:tc>
        <w:tc>
          <w:tcPr>
            <w:tcW w:type="dxa" w:w="6600"/>
          </w:tcPr>
          <w:p>
            <w:r>
              <w:rPr>
                <w:b w:val="false"/>
                <w:bCs w:val="false"/>
                <w:color w:val="000000"/>
                <w:sz w:val="20"/>
                <w:szCs w:val="20"/>
              </w:rPr>
              <w:t xml:space="preserve">Core to BO-01, the product has no value without a searchable library</w:t>
            </w:r>
          </w:p>
        </w:tc>
      </w:tr>
      <w:tr>
        <w:tc>
          <w:tcPr>
            <w:tcW w:type="dxa" w:w="900"/>
          </w:tcPr>
          <w:p>
            <w:r>
              <w:rPr>
                <w:b w:val="false"/>
                <w:bCs w:val="false"/>
                <w:color w:val="000000"/>
                <w:sz w:val="20"/>
                <w:szCs w:val="20"/>
              </w:rPr>
              <w:t xml:space="preserve">FR-02</w:t>
            </w:r>
          </w:p>
        </w:tc>
        <w:tc>
          <w:tcPr>
            <w:tcW w:type="dxa" w:w="1200"/>
          </w:tcPr>
          <w:p>
            <w:r>
              <w:rPr>
                <w:b w:val="false"/>
                <w:bCs w:val="false"/>
                <w:color w:val="000000"/>
                <w:sz w:val="20"/>
                <w:szCs w:val="20"/>
              </w:rPr>
              <w:t xml:space="preserve">Must</w:t>
            </w:r>
          </w:p>
        </w:tc>
        <w:tc>
          <w:tcPr>
            <w:tcW w:type="dxa" w:w="6600"/>
          </w:tcPr>
          <w:p>
            <w:r>
              <w:rPr>
                <w:b w:val="false"/>
                <w:bCs w:val="false"/>
                <w:color w:val="000000"/>
                <w:sz w:val="20"/>
                <w:szCs w:val="20"/>
              </w:rPr>
              <w:t xml:space="preserve">Without vetted content, FR-01 delivers search but not trust</w:t>
            </w:r>
          </w:p>
        </w:tc>
      </w:tr>
      <w:tr>
        <w:tc>
          <w:tcPr>
            <w:tcW w:type="dxa" w:w="900"/>
          </w:tcPr>
          <w:p>
            <w:r>
              <w:rPr>
                <w:b w:val="false"/>
                <w:bCs w:val="false"/>
                <w:color w:val="000000"/>
                <w:sz w:val="20"/>
                <w:szCs w:val="20"/>
              </w:rPr>
              <w:t xml:space="preserve">FR-03</w:t>
            </w:r>
          </w:p>
        </w:tc>
        <w:tc>
          <w:tcPr>
            <w:tcW w:type="dxa" w:w="1200"/>
          </w:tcPr>
          <w:p>
            <w:r>
              <w:rPr>
                <w:b w:val="false"/>
                <w:bCs w:val="false"/>
                <w:color w:val="000000"/>
                <w:sz w:val="20"/>
                <w:szCs w:val="20"/>
              </w:rPr>
              <w:t xml:space="preserve">Should</w:t>
            </w:r>
          </w:p>
        </w:tc>
        <w:tc>
          <w:tcPr>
            <w:tcW w:type="dxa" w:w="6600"/>
          </w:tcPr>
          <w:p>
            <w:r>
              <w:rPr>
                <w:b w:val="false"/>
                <w:bCs w:val="false"/>
                <w:color w:val="000000"/>
                <w:sz w:val="20"/>
                <w:szCs w:val="20"/>
              </w:rPr>
              <w:t xml:space="preserve">Core to BO-02, but the MVP can launch with a smaller content-first library ahead of full community features</w:t>
            </w:r>
          </w:p>
        </w:tc>
      </w:tr>
      <w:tr>
        <w:tc>
          <w:tcPr>
            <w:tcW w:type="dxa" w:w="900"/>
          </w:tcPr>
          <w:p>
            <w:r>
              <w:rPr>
                <w:b w:val="false"/>
                <w:bCs w:val="false"/>
                <w:color w:val="000000"/>
                <w:sz w:val="20"/>
                <w:szCs w:val="20"/>
              </w:rPr>
              <w:t xml:space="preserve">FR-04</w:t>
            </w:r>
          </w:p>
        </w:tc>
        <w:tc>
          <w:tcPr>
            <w:tcW w:type="dxa" w:w="1200"/>
          </w:tcPr>
          <w:p>
            <w:r>
              <w:rPr>
                <w:b w:val="false"/>
                <w:bCs w:val="false"/>
                <w:color w:val="000000"/>
                <w:sz w:val="20"/>
                <w:szCs w:val="20"/>
              </w:rPr>
              <w:t xml:space="preserve">Should</w:t>
            </w:r>
          </w:p>
        </w:tc>
        <w:tc>
          <w:tcPr>
            <w:tcW w:type="dxa" w:w="6600"/>
          </w:tcPr>
          <w:p>
            <w:r>
              <w:rPr>
                <w:b w:val="false"/>
                <w:bCs w:val="false"/>
                <w:color w:val="000000"/>
                <w:sz w:val="20"/>
                <w:szCs w:val="20"/>
              </w:rPr>
              <w:t xml:space="preserve">Depends on FR-03 being live first</w:t>
            </w:r>
          </w:p>
        </w:tc>
      </w:tr>
      <w:tr>
        <w:tc>
          <w:tcPr>
            <w:tcW w:type="dxa" w:w="900"/>
          </w:tcPr>
          <w:p>
            <w:r>
              <w:rPr>
                <w:b w:val="false"/>
                <w:bCs w:val="false"/>
                <w:color w:val="000000"/>
                <w:sz w:val="20"/>
                <w:szCs w:val="20"/>
              </w:rPr>
              <w:t xml:space="preserve">FR-05</w:t>
            </w:r>
          </w:p>
        </w:tc>
        <w:tc>
          <w:tcPr>
            <w:tcW w:type="dxa" w:w="1200"/>
          </w:tcPr>
          <w:p>
            <w:r>
              <w:rPr>
                <w:b w:val="false"/>
                <w:bCs w:val="false"/>
                <w:color w:val="000000"/>
                <w:sz w:val="20"/>
                <w:szCs w:val="20"/>
              </w:rPr>
              <w:t xml:space="preserve">Must</w:t>
            </w:r>
          </w:p>
        </w:tc>
        <w:tc>
          <w:tcPr>
            <w:tcW w:type="dxa" w:w="6600"/>
          </w:tcPr>
          <w:p>
            <w:r>
              <w:rPr>
                <w:b w:val="false"/>
                <w:bCs w:val="false"/>
                <w:color w:val="000000"/>
                <w:sz w:val="20"/>
                <w:szCs w:val="20"/>
              </w:rPr>
              <w:t xml:space="preserve">Core to BO-03, tracking has no value without a logging mechanism</w:t>
            </w:r>
          </w:p>
        </w:tc>
      </w:tr>
      <w:tr>
        <w:tc>
          <w:tcPr>
            <w:tcW w:type="dxa" w:w="900"/>
          </w:tcPr>
          <w:p>
            <w:r>
              <w:rPr>
                <w:b w:val="false"/>
                <w:bCs w:val="false"/>
                <w:color w:val="000000"/>
                <w:sz w:val="20"/>
                <w:szCs w:val="20"/>
              </w:rPr>
              <w:t xml:space="preserve">FR-06</w:t>
            </w:r>
          </w:p>
        </w:tc>
        <w:tc>
          <w:tcPr>
            <w:tcW w:type="dxa" w:w="1200"/>
          </w:tcPr>
          <w:p>
            <w:r>
              <w:rPr>
                <w:b w:val="false"/>
                <w:bCs w:val="false"/>
                <w:color w:val="000000"/>
                <w:sz w:val="20"/>
                <w:szCs w:val="20"/>
              </w:rPr>
              <w:t xml:space="preserve">Must</w:t>
            </w:r>
          </w:p>
        </w:tc>
        <w:tc>
          <w:tcPr>
            <w:tcW w:type="dxa" w:w="6600"/>
          </w:tcPr>
          <w:p>
            <w:r>
              <w:rPr>
                <w:b w:val="false"/>
                <w:bCs w:val="false"/>
                <w:color w:val="000000"/>
                <w:sz w:val="20"/>
                <w:szCs w:val="20"/>
              </w:rPr>
              <w:t xml:space="preserve">Completes the planting-to-harvest loop FR-05 starts</w:t>
            </w:r>
          </w:p>
        </w:tc>
      </w:tr>
      <w:tr>
        <w:tc>
          <w:tcPr>
            <w:tcW w:type="dxa" w:w="900"/>
          </w:tcPr>
          <w:p>
            <w:r>
              <w:rPr>
                <w:b w:val="false"/>
                <w:bCs w:val="false"/>
                <w:color w:val="000000"/>
                <w:sz w:val="20"/>
                <w:szCs w:val="20"/>
              </w:rPr>
              <w:t xml:space="preserve">FR-07</w:t>
            </w:r>
          </w:p>
        </w:tc>
        <w:tc>
          <w:tcPr>
            <w:tcW w:type="dxa" w:w="1200"/>
          </w:tcPr>
          <w:p>
            <w:r>
              <w:rPr>
                <w:b w:val="false"/>
                <w:bCs w:val="false"/>
                <w:color w:val="000000"/>
                <w:sz w:val="20"/>
                <w:szCs w:val="20"/>
              </w:rPr>
              <w:t xml:space="preserve">Could</w:t>
            </w:r>
          </w:p>
        </w:tc>
        <w:tc>
          <w:tcPr>
            <w:tcW w:type="dxa" w:w="6600"/>
          </w:tcPr>
          <w:p>
            <w:r>
              <w:rPr>
                <w:b w:val="false"/>
                <w:bCs w:val="false"/>
                <w:color w:val="000000"/>
                <w:sz w:val="20"/>
                <w:szCs w:val="20"/>
              </w:rPr>
              <w:t xml:space="preserve">Adds value but the product functions without a visual layer at MVP</w:t>
            </w:r>
          </w:p>
        </w:tc>
      </w:tr>
      <w:tr>
        <w:tc>
          <w:tcPr>
            <w:tcW w:type="dxa" w:w="900"/>
          </w:tcPr>
          <w:p>
            <w:r>
              <w:rPr>
                <w:b w:val="false"/>
                <w:bCs w:val="false"/>
                <w:color w:val="000000"/>
                <w:sz w:val="20"/>
                <w:szCs w:val="20"/>
              </w:rPr>
              <w:t xml:space="preserve">FR-08</w:t>
            </w:r>
          </w:p>
        </w:tc>
        <w:tc>
          <w:tcPr>
            <w:tcW w:type="dxa" w:w="1200"/>
          </w:tcPr>
          <w:p>
            <w:r>
              <w:rPr>
                <w:b w:val="false"/>
                <w:bCs w:val="false"/>
                <w:color w:val="000000"/>
                <w:sz w:val="20"/>
                <w:szCs w:val="20"/>
              </w:rPr>
              <w:t xml:space="preserve">Must</w:t>
            </w:r>
          </w:p>
        </w:tc>
        <w:tc>
          <w:tcPr>
            <w:tcW w:type="dxa" w:w="6600"/>
          </w:tcPr>
          <w:p>
            <w:r>
              <w:rPr>
                <w:b w:val="false"/>
                <w:bCs w:val="false"/>
                <w:color w:val="000000"/>
                <w:sz w:val="20"/>
                <w:szCs w:val="20"/>
              </w:rPr>
              <w:t xml:space="preserve">BO-04 depends on this from day one, retrofitting data capture later loses historical baseline</w:t>
            </w:r>
          </w:p>
        </w:tc>
      </w:tr>
      <w:tr>
        <w:tc>
          <w:tcPr>
            <w:tcW w:type="dxa" w:w="900"/>
          </w:tcPr>
          <w:p>
            <w:r>
              <w:rPr>
                <w:b w:val="false"/>
                <w:bCs w:val="false"/>
                <w:color w:val="000000"/>
                <w:sz w:val="20"/>
                <w:szCs w:val="20"/>
              </w:rPr>
              <w:t xml:space="preserve">FR-09</w:t>
            </w:r>
          </w:p>
        </w:tc>
        <w:tc>
          <w:tcPr>
            <w:tcW w:type="dxa" w:w="1200"/>
          </w:tcPr>
          <w:p>
            <w:r>
              <w:rPr>
                <w:b w:val="false"/>
                <w:bCs w:val="false"/>
                <w:color w:val="000000"/>
                <w:sz w:val="20"/>
                <w:szCs w:val="20"/>
              </w:rPr>
              <w:t xml:space="preserve">Should</w:t>
            </w:r>
          </w:p>
        </w:tc>
        <w:tc>
          <w:tcPr>
            <w:tcW w:type="dxa" w:w="6600"/>
          </w:tcPr>
          <w:p>
            <w:r>
              <w:rPr>
                <w:b w:val="false"/>
                <w:bCs w:val="false"/>
                <w:color w:val="000000"/>
                <w:sz w:val="20"/>
                <w:szCs w:val="20"/>
              </w:rPr>
              <w:t xml:space="preserve">Fills a real measurement gap for BO-04, scoped to post-harvest only to avoid expanding MVP surface area</w:t>
            </w:r>
          </w:p>
        </w:tc>
      </w:tr>
    </w:tbl>
    <w:p>
      <w:pPr>
        <w:pStyle w:val="Heading1"/>
        <w:spacing w:after="200" w:before="400"/>
      </w:pPr>
      <w:r>
        <w:t xml:space="preserve">3.5 Acceptance Criteria</w:t>
      </w:r>
    </w:p>
    <w:p>
      <w:pPr>
        <w:spacing w:after="160"/>
      </w:pPr>
      <w:r>
        <w:t xml:space="preserve">I picked sample acceptance criteria for the two requirements carrying the highest delivery risk:</w:t>
      </w:r>
    </w:p>
    <w:p>
      <w:pPr>
        <w:pStyle w:val="ListParagraph"/>
        <w:numPr>
          <w:ilvl w:val="0"/>
          <w:numId w:val="1"/>
        </w:numPr>
        <w:spacing w:after="80"/>
      </w:pPr>
      <w:r>
        <w:t xml:space="preserve">FR-02: Given a Plant Library entry exists, when a gardener views it, then the entry displays a content-verified badge and a last-reviewed date.</w:t>
      </w:r>
    </w:p>
    <w:p>
      <w:pPr>
        <w:pStyle w:val="ListParagraph"/>
        <w:numPr>
          <w:ilvl w:val="0"/>
          <w:numId w:val="1"/>
        </w:numPr>
        <w:spacing w:after="80"/>
      </w:pPr>
      <w:r>
        <w:t xml:space="preserve">FR-08: Given any user action across the three capabilities, when that action completes, then a corresponding usage event is recorded with a timestamp and capability tag, without requiring the gardener to opt in separately.</w:t>
      </w:r>
    </w:p>
    <w:p>
      <w:pPr>
        <w:spacing w:after="160"/>
      </w:pPr>
      <w:r>
        <w:t xml:space="preserve">I've since confirmed acceptance criteria for FR-05 as well, following DEC-03 during Sprint 2 (Product Owner persona), rather than leaving it undefined until Sprint Review:</w:t>
      </w:r>
    </w:p>
    <w:p>
      <w:pPr>
        <w:pStyle w:val="ListParagraph"/>
        <w:numPr>
          <w:ilvl w:val="0"/>
          <w:numId w:val="1"/>
        </w:numPr>
        <w:spacing w:after="80"/>
      </w:pPr>
      <w:r>
        <w:t xml:space="preserve">FR-05, AC1, Plant type: Given a gardener is logging a planting event, when the gardener provides a plant type and submits the planting, then the planting event records the selected plant type.</w:t>
      </w:r>
    </w:p>
    <w:p>
      <w:pPr>
        <w:pStyle w:val="ListParagraph"/>
        <w:numPr>
          <w:ilvl w:val="0"/>
          <w:numId w:val="1"/>
        </w:numPr>
        <w:spacing w:after="80"/>
      </w:pPr>
      <w:r>
        <w:t xml:space="preserve">FR-05, AC2, Planting date: Given a gardener is logging a planting event, when the gardener provides a planting date and submits the planting, then the planting event records the planting date.</w:t>
      </w:r>
    </w:p>
    <w:p>
      <w:pPr>
        <w:pStyle w:val="ListParagraph"/>
        <w:numPr>
          <w:ilvl w:val="0"/>
          <w:numId w:val="1"/>
        </w:numPr>
        <w:spacing w:after="80"/>
      </w:pPr>
      <w:r>
        <w:t xml:space="preserve">FR-05, AC3, Planting event: Given the required planting information has been provided, when the gardener submits the planting event, then the planting event is successfully logged.</w:t>
      </w:r>
    </w:p>
    <w:p>
      <w:pPr>
        <w:spacing w:after="160"/>
      </w:pPr>
      <w:r>
        <w:t xml:space="preserve">Source: DEC-03, Decision Register. Confirming these criteria doesn't validate FR-05, that still requires acceptance testing and Sprint Review demonstration per Section 5.6. It only means testing now has something concrete to test against.</w:t>
      </w:r>
    </w:p>
    <w:p>
      <w:pPr>
        <w:spacing w:after="160"/>
      </w:pPr>
      <w:r>
        <w:t xml:space="preserve">I've also confirmed acceptance criteria for FR-06, following DEC-04 during Sprint 2 (Product Owner persona):</w:t>
      </w:r>
    </w:p>
    <w:p>
      <w:pPr>
        <w:pStyle w:val="ListParagraph"/>
        <w:numPr>
          <w:ilvl w:val="0"/>
          <w:numId w:val="1"/>
        </w:numPr>
        <w:spacing w:after="80"/>
      </w:pPr>
      <w:r>
        <w:t xml:space="preserve">FR-06, AC1, Planting selection: Given a gardener has one or more previously logged plantings, when the gardener begins recording a harvest, then the gardener can select an existing planting to record the harvest against.</w:t>
      </w:r>
    </w:p>
    <w:p>
      <w:pPr>
        <w:pStyle w:val="ListParagraph"/>
        <w:numPr>
          <w:ilvl w:val="0"/>
          <w:numId w:val="1"/>
        </w:numPr>
        <w:spacing w:after="80"/>
      </w:pPr>
      <w:r>
        <w:t xml:space="preserve">FR-06, AC2, Harvest recording: Given a gardener has selected an existing planting, when the gardener submits harvest details, then the harvest is recorded against that planting.</w:t>
      </w:r>
    </w:p>
    <w:p>
      <w:pPr>
        <w:pStyle w:val="ListParagraph"/>
        <w:numPr>
          <w:ilvl w:val="0"/>
          <w:numId w:val="1"/>
        </w:numPr>
        <w:spacing w:after="80"/>
      </w:pPr>
      <w:r>
        <w:t xml:space="preserve">FR-06, AC3, Planting-to-harvest linkage: Given a harvest has been recorded against a planting, when the harvest is saved, then the planting and its harvest remain linked and traceable to each other.</w:t>
      </w:r>
    </w:p>
    <w:p>
      <w:pPr>
        <w:spacing w:after="160"/>
      </w:pPr>
      <w:r>
        <w:t xml:space="preserve">Source: DEC-04, Decision Register. As with FR-05, confirming these criteria doesn't validate FR-06, that still requires acceptance testing and Sprint Review demonstration per Section 5.6.</w:t>
      </w:r>
    </w:p>
    <w:p>
      <w:pPr>
        <w:spacing w:after="160"/>
      </w:pPr>
      <w:r>
        <w:t xml:space="preserve">Full acceptance criteria for every requirement are maintained in the Requirements Traceability Matrix (Excel) and in Jira at the story level once backlog engineering begins in Section 5.</w:t>
      </w:r>
    </w:p>
    <w:p>
      <w:pPr>
        <w:pStyle w:val="Heading1"/>
        <w:spacing w:after="200" w:before="400"/>
      </w:pPr>
      <w:r>
        <w:t xml:space="preserve">3.6 Traceability</w:t>
      </w:r>
    </w:p>
    <w:p>
      <w:pPr>
        <w:spacing w:after="160"/>
      </w:pPr>
      <w:r>
        <w:t xml:space="preserve">Every requirement ID in this section is carried forward unchanged into the RTM, the Epic Catalogue in Section 4, and Jira. No requirement is renumbered or restated differently downstream, the ID is the anchor.</w:t>
      </w:r>
    </w:p>
    <w:p>
      <w:pPr>
        <w:pStyle w:val="Heading1"/>
        <w:spacing w:after="200" w:before="400"/>
      </w:pPr>
      <w:r>
        <w:t xml:space="preserve">3.7 Requirement Dependencies</w:t>
      </w:r>
    </w:p>
    <w:p>
      <w:pPr>
        <w:pStyle w:val="ListParagraph"/>
        <w:numPr>
          <w:ilvl w:val="0"/>
          <w:numId w:val="1"/>
        </w:numPr>
        <w:spacing w:after="80"/>
      </w:pPr>
      <w:r>
        <w:t xml:space="preserve">FR-04 depends on FR-03 (cannot respond to a post that doesn't exist yet).</w:t>
      </w:r>
    </w:p>
    <w:p>
      <w:pPr>
        <w:pStyle w:val="ListParagraph"/>
        <w:numPr>
          <w:ilvl w:val="0"/>
          <w:numId w:val="1"/>
        </w:numPr>
        <w:spacing w:after="80"/>
      </w:pPr>
      <w:r>
        <w:t xml:space="preserve">FR-06 depends on FR-05 (a harvest must trace back to a logged planting).</w:t>
      </w:r>
    </w:p>
    <w:p>
      <w:pPr>
        <w:pStyle w:val="ListParagraph"/>
        <w:numPr>
          <w:ilvl w:val="0"/>
          <w:numId w:val="1"/>
        </w:numPr>
        <w:spacing w:after="80"/>
      </w:pPr>
      <w:r>
        <w:t xml:space="preserve">FR-07 depends on both FR-05 and FR-06 (a timeline requires both planting and harvest data to visualise).</w:t>
      </w:r>
    </w:p>
    <w:p>
      <w:pPr>
        <w:pStyle w:val="ListParagraph"/>
        <w:numPr>
          <w:ilvl w:val="0"/>
          <w:numId w:val="1"/>
        </w:numPr>
        <w:spacing w:after="80"/>
      </w:pPr>
      <w:r>
        <w:t xml:space="preserve">NFR-03 depends on FR-08 (data integrity only matters once capture exists).</w:t>
      </w:r>
    </w:p>
    <w:p>
      <w:pPr>
        <w:pStyle w:val="Heading1"/>
        <w:spacing w:after="200" w:before="400"/>
      </w:pPr>
      <w:r>
        <w:t xml:space="preserve">3.8 Definition of Ready</w:t>
      </w:r>
    </w:p>
    <w:p>
      <w:pPr>
        <w:pStyle w:val="ListParagraph"/>
        <w:numPr>
          <w:ilvl w:val="0"/>
          <w:numId w:val="1"/>
        </w:numPr>
        <w:spacing w:after="80"/>
      </w:pPr>
      <w:r>
        <w:t xml:space="preserve">Requirement has a unique ID and traces to a business requirement</w:t>
      </w:r>
    </w:p>
    <w:p>
      <w:pPr>
        <w:pStyle w:val="ListParagraph"/>
        <w:numPr>
          <w:ilvl w:val="0"/>
          <w:numId w:val="1"/>
        </w:numPr>
        <w:spacing w:after="80"/>
      </w:pPr>
      <w:r>
        <w:t xml:space="preserve">Acceptance criteria are drafted, even if not yet finalised with QA</w:t>
      </w:r>
    </w:p>
    <w:p>
      <w:pPr>
        <w:pStyle w:val="ListParagraph"/>
        <w:numPr>
          <w:ilvl w:val="0"/>
          <w:numId w:val="1"/>
        </w:numPr>
        <w:spacing w:after="80"/>
      </w:pPr>
      <w:r>
        <w:t xml:space="preserve">Dependencies on other requirements are identified</w:t>
      </w:r>
    </w:p>
    <w:p>
      <w:pPr>
        <w:pStyle w:val="ListParagraph"/>
        <w:numPr>
          <w:ilvl w:val="0"/>
          <w:numId w:val="1"/>
        </w:numPr>
        <w:spacing w:after="80"/>
      </w:pPr>
      <w:r>
        <w:t xml:space="preserve">Persona-level stakeholder sign-off has been obtained (Product Owner persona)</w:t>
      </w:r>
    </w:p>
    <w:p>
      <w:pPr>
        <w:pStyle w:val="Heading1"/>
        <w:spacing w:after="200" w:before="400"/>
      </w:pPr>
      <w:r>
        <w:t xml:space="preserve">3.9 Definition of Done</w:t>
      </w:r>
    </w:p>
    <w:p>
      <w:pPr>
        <w:pStyle w:val="ListParagraph"/>
        <w:numPr>
          <w:ilvl w:val="0"/>
          <w:numId w:val="1"/>
        </w:numPr>
        <w:spacing w:after="80"/>
      </w:pPr>
      <w:r>
        <w:t xml:space="preserve">Acceptance criteria pass in the test environment</w:t>
      </w:r>
    </w:p>
    <w:p>
      <w:pPr>
        <w:pStyle w:val="ListParagraph"/>
        <w:numPr>
          <w:ilvl w:val="0"/>
          <w:numId w:val="1"/>
        </w:numPr>
        <w:spacing w:after="80"/>
      </w:pPr>
      <w:r>
        <w:t xml:space="preserve">Requirement is demonstrated at Sprint Review against its original acceptance criteria</w:t>
      </w:r>
    </w:p>
    <w:p>
      <w:pPr>
        <w:pStyle w:val="ListParagraph"/>
        <w:numPr>
          <w:ilvl w:val="0"/>
          <w:numId w:val="1"/>
        </w:numPr>
        <w:spacing w:after="80"/>
      </w:pPr>
      <w:r>
        <w:t xml:space="preserve">Requirement's usage event (where applicable) is confirmed flowing into the reporting layer</w:t>
      </w:r>
    </w:p>
    <w:p>
      <w:pPr>
        <w:pStyle w:val="ListParagraph"/>
        <w:numPr>
          <w:ilvl w:val="0"/>
          <w:numId w:val="1"/>
        </w:numPr>
        <w:spacing w:after="80"/>
      </w:pPr>
      <w:r>
        <w:t xml:space="preserve">RTM validation status is updated from Not Started to Validated</w:t>
      </w:r>
    </w:p>
    <w:p>
      <w:pPr>
        <w:pStyle w:val="Heading1"/>
        <w:spacing w:after="200" w:before="400"/>
      </w:pPr>
      <w:r>
        <w:t xml:space="preserve">3.10 Validation Approach</w:t>
      </w:r>
    </w:p>
    <w:p>
      <w:pPr>
        <w:spacing w:after="160"/>
      </w:pPr>
      <w:r>
        <w:t xml:space="preserve">Requirements are validated in two stages: acceptance criteria testing during the sprint that delivers them, and business validation at Sprint Review, where the Product Owner persona confirms the delivered functionality against the original business requirement it traces to, not just the acceptance criteria in isolation.</w:t>
      </w:r>
    </w:p>
    <w:p>
      <w:pPr>
        <w:spacing w:after="160"/>
      </w:pPr>
      <w:r>
        <w:t xml:space="preserve">This two-stage approach exists because acceptance criteria can technically pass while still missing the underlying business intent. Section 7 documents this validation in detail once real sprints have run.</w:t>
      </w:r>
    </w:p>
    <w:p>
      <w:pPr>
        <w:pStyle w:val="Heading1"/>
        <w:spacing w:after="200" w:before="400"/>
      </w:pPr>
      <w:r>
        <w:t xml:space="preserve">3.11 Delivery Reflection</w:t>
      </w:r>
    </w:p>
    <w:p>
      <w:pPr>
        <w:spacing w:after="160"/>
      </w:pPr>
      <w:r>
        <w:t xml:space="preserve">The real tension in this section was prioritisation. FR-04 and FR-07 both have obvious end-user value, a gardener would want to respond to posts and see their progress visually, but neither is load-bearing for the MVP the way FR-01, FR-02, FR-05, FR-06, and FR-08 are.</w:t>
      </w:r>
    </w:p>
    <w:p>
      <w:pPr>
        <w:spacing w:after="160"/>
      </w:pPr>
      <w:r>
        <w:t xml:space="preserve">I held both to Should/Could rather than Must specifically because BO-01 and BO-03 can be demonstrated as solving GreenSphere's stated problems without them. That distinction matters directly for the MVP definition in Section 4, and getting it wrong here would have inflated the MVP scope for features that support engagement rather than the core problems GreenSphere named.</w:t>
      </w:r>
    </w:p>
    <w:p>
      <w:pPr>
        <w:pStyle w:val="Heading1"/>
        <w:spacing w:after="200" w:before="400"/>
      </w:pPr>
      <w:r>
        <w:t xml:space="preserve">3.12 Executive Takeaway</w:t>
      </w:r>
    </w:p>
    <w:p>
      <w:pPr>
        <w:spacing w:after="160"/>
      </w:pPr>
      <w:r>
        <w:t xml:space="preserve">Eight functional and four non-functional requirements now trace cleanly from Section 2's business objectives through to acceptance criteria, with dependencies and priority explicitly mapped. This is the requirements baseline Section 4's MVP decision is built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2026-08-22T13:06:47.227Z</dcterms:created>
  <dcterms:modified xsi:type="dcterms:W3CDTF">2026-08-22T13:06:47.228Z</dcterms:modified>
</cp:coreProperties>
</file>

<file path=docProps/custom.xml><?xml version="1.0" encoding="utf-8"?>
<Properties xmlns="http://schemas.openxmlformats.org/officeDocument/2006/custom-properties" xmlns:vt="http://schemas.openxmlformats.org/officeDocument/2006/docPropsVTypes"/>
</file>