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4: Product Strategy &amp; Delivery Planning</w:t>
      </w:r>
    </w:p>
    <w:p>
      <w:pPr>
        <w:spacing w:after="400"/>
      </w:pPr>
      <w:r>
        <w:rPr>
          <w:color w:val="5A6B6B"/>
          <w:sz w:val="22"/>
          <w:szCs w:val="22"/>
        </w:rPr>
        <w:t xml:space="preserve">Prepared by Doris Frank, Business Analyst</w:t>
      </w:r>
    </w:p>
    <w:p>
      <w:pPr>
        <w:pStyle w:val="Heading1"/>
        <w:spacing w:after="200" w:before="400"/>
      </w:pPr>
      <w:r>
        <w:t xml:space="preserve">4.1 Product Vision</w:t>
      </w:r>
    </w:p>
    <w:p>
      <w:pPr>
        <w:spacing w:after="160"/>
      </w:pPr>
      <w:r>
        <w:t xml:space="preserve">EcoGrow becomes the single trusted home for a gardener's plant-care knowledge, community, and personal progress, replacing the fragmented mix of forums, generic social platforms, and disconnected tracking tools gardeners currently rely on.</w:t>
      </w:r>
    </w:p>
    <w:p>
      <w:pPr>
        <w:pStyle w:val="Heading1"/>
        <w:spacing w:after="200" w:before="400"/>
      </w:pPr>
      <w:r>
        <w:t xml:space="preserve">4.2 Strategic Business Objectives</w:t>
      </w:r>
    </w:p>
    <w:p>
      <w:pPr>
        <w:spacing w:after="160"/>
      </w:pPr>
      <w:r>
        <w:t xml:space="preserve">Carried forward unchanged from Section 2: BO-01 (trusted information source), BO-02 (structured community), BO-03 (progress tracking), BO-04 (usage data capture for future decisions).</w:t>
      </w:r>
    </w:p>
    <w:p>
      <w:pPr>
        <w:pStyle w:val="Heading1"/>
        <w:spacing w:after="200" w:before="400"/>
      </w:pPr>
      <w:r>
        <w:t xml:space="preserve">4.3 Expected Business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0E7C7B" w:val="clear"/>
          </w:tcPr>
          <w:p>
            <w:r>
              <w:rPr>
                <w:b/>
                <w:bCs/>
                <w:color w:val="FFFFFF"/>
                <w:sz w:val="20"/>
                <w:szCs w:val="20"/>
              </w:rPr>
              <w:t xml:space="preserve">Business Objective</w:t>
            </w:r>
          </w:p>
        </w:tc>
        <w:tc>
          <w:tcPr>
            <w:tcW w:type="dxa" w:w="7400"/>
            <w:shd w:fill="0E7C7B" w:val="clear"/>
          </w:tcPr>
          <w:p>
            <w:r>
              <w:rPr>
                <w:b/>
                <w:bCs/>
                <w:color w:val="FFFFFF"/>
                <w:sz w:val="20"/>
                <w:szCs w:val="20"/>
              </w:rPr>
              <w:t xml:space="preserve">Expected Outcome</w:t>
            </w:r>
          </w:p>
        </w:tc>
      </w:tr>
      <w:tr>
        <w:tc>
          <w:tcPr>
            <w:tcW w:type="dxa" w:w="1600"/>
          </w:tcPr>
          <w:p>
            <w:r>
              <w:rPr>
                <w:b w:val="false"/>
                <w:bCs w:val="false"/>
                <w:color w:val="000000"/>
                <w:sz w:val="20"/>
                <w:szCs w:val="20"/>
              </w:rPr>
              <w:t xml:space="preserve">BO-01</w:t>
            </w:r>
          </w:p>
        </w:tc>
        <w:tc>
          <w:tcPr>
            <w:tcW w:type="dxa" w:w="7400"/>
          </w:tcPr>
          <w:p>
            <w:r>
              <w:rPr>
                <w:b w:val="false"/>
                <w:bCs w:val="false"/>
                <w:color w:val="000000"/>
                <w:sz w:val="20"/>
                <w:szCs w:val="20"/>
              </w:rPr>
              <w:t xml:space="preserve">Gardeners default to EcoGrow's Plant Library instead of general search when seeking care information</w:t>
            </w:r>
          </w:p>
        </w:tc>
      </w:tr>
      <w:tr>
        <w:tc>
          <w:tcPr>
            <w:tcW w:type="dxa" w:w="1600"/>
          </w:tcPr>
          <w:p>
            <w:r>
              <w:rPr>
                <w:b w:val="false"/>
                <w:bCs w:val="false"/>
                <w:color w:val="000000"/>
                <w:sz w:val="20"/>
                <w:szCs w:val="20"/>
              </w:rPr>
              <w:t xml:space="preserve">BO-02</w:t>
            </w:r>
          </w:p>
        </w:tc>
        <w:tc>
          <w:tcPr>
            <w:tcW w:type="dxa" w:w="7400"/>
          </w:tcPr>
          <w:p>
            <w:r>
              <w:rPr>
                <w:b w:val="false"/>
                <w:bCs w:val="false"/>
                <w:color w:val="000000"/>
                <w:sz w:val="20"/>
                <w:szCs w:val="20"/>
              </w:rPr>
              <w:t xml:space="preserve">Forum engagement becomes a repeat behaviour, not a one-time visit</w:t>
            </w:r>
          </w:p>
        </w:tc>
      </w:tr>
      <w:tr>
        <w:tc>
          <w:tcPr>
            <w:tcW w:type="dxa" w:w="1600"/>
          </w:tcPr>
          <w:p>
            <w:r>
              <w:rPr>
                <w:b w:val="false"/>
                <w:bCs w:val="false"/>
                <w:color w:val="000000"/>
                <w:sz w:val="20"/>
                <w:szCs w:val="20"/>
              </w:rPr>
              <w:t xml:space="preserve">BO-03</w:t>
            </w:r>
          </w:p>
        </w:tc>
        <w:tc>
          <w:tcPr>
            <w:tcW w:type="dxa" w:w="7400"/>
          </w:tcPr>
          <w:p>
            <w:r>
              <w:rPr>
                <w:b w:val="false"/>
                <w:bCs w:val="false"/>
                <w:color w:val="000000"/>
                <w:sz w:val="20"/>
                <w:szCs w:val="20"/>
              </w:rPr>
              <w:t xml:space="preserve">Gardeners who log a planting return to log the corresponding harvest</w:t>
            </w:r>
          </w:p>
        </w:tc>
      </w:tr>
      <w:tr>
        <w:tc>
          <w:tcPr>
            <w:tcW w:type="dxa" w:w="1600"/>
          </w:tcPr>
          <w:p>
            <w:r>
              <w:rPr>
                <w:b w:val="false"/>
                <w:bCs w:val="false"/>
                <w:color w:val="000000"/>
                <w:sz w:val="20"/>
                <w:szCs w:val="20"/>
              </w:rPr>
              <w:t xml:space="preserve">BO-04</w:t>
            </w:r>
          </w:p>
        </w:tc>
        <w:tc>
          <w:tcPr>
            <w:tcW w:type="dxa" w:w="7400"/>
          </w:tcPr>
          <w:p>
            <w:r>
              <w:rPr>
                <w:b w:val="false"/>
                <w:bCs w:val="false"/>
                <w:color w:val="000000"/>
                <w:sz w:val="20"/>
                <w:szCs w:val="20"/>
              </w:rPr>
              <w:t xml:space="preserve">Usage data is complete and reliable enough to inform the Section 8 KPI dashboard once EcoGrow is live</w:t>
            </w:r>
          </w:p>
        </w:tc>
      </w:tr>
    </w:tbl>
    <w:p>
      <w:pPr>
        <w:pStyle w:val="Heading1"/>
        <w:spacing w:after="200" w:before="400"/>
      </w:pPr>
      <w:r>
        <w:t xml:space="preserve">4.4 Success Measures</w:t>
      </w:r>
    </w:p>
    <w:p>
      <w:pPr>
        <w:spacing w:after="160"/>
      </w:pPr>
      <w:r>
        <w:t xml:space="preserve">Success measures are defined now so the Power BI reporting layer (Section 8) has a target to report against once real usage data exists. No figures below are targets pulled from GreenSphere, they are the measurement framework itself, pending real KPI targets to be confirmed with the Product Sponsor persona.</w:t>
      </w:r>
    </w:p>
    <w:p>
      <w:pPr>
        <w:pStyle w:val="ListParagraph"/>
        <w:numPr>
          <w:ilvl w:val="0"/>
          <w:numId w:val="1"/>
        </w:numPr>
        <w:spacing w:after="80"/>
      </w:pPr>
      <w:r>
        <w:t xml:space="preserve">Plant Library: search-to-view completion rate</w:t>
      </w:r>
    </w:p>
    <w:p>
      <w:pPr>
        <w:pStyle w:val="ListParagraph"/>
        <w:numPr>
          <w:ilvl w:val="0"/>
          <w:numId w:val="1"/>
        </w:numPr>
        <w:spacing w:after="80"/>
      </w:pPr>
      <w:r>
        <w:t xml:space="preserve">Community Forum: percentage of posts that receive at least one response within 48 hours</w:t>
      </w:r>
    </w:p>
    <w:p>
      <w:pPr>
        <w:pStyle w:val="ListParagraph"/>
        <w:numPr>
          <w:ilvl w:val="0"/>
          <w:numId w:val="1"/>
        </w:numPr>
        <w:spacing w:after="80"/>
      </w:pPr>
      <w:r>
        <w:t xml:space="preserve">Harvest Tracker: percentage of logged plantings that reach a logged harvest</w:t>
      </w:r>
    </w:p>
    <w:p>
      <w:pPr>
        <w:pStyle w:val="ListParagraph"/>
        <w:numPr>
          <w:ilvl w:val="0"/>
          <w:numId w:val="1"/>
        </w:numPr>
        <w:spacing w:after="80"/>
      </w:pPr>
      <w:r>
        <w:t xml:space="preserve">Cross-capability: weekly active users, once operational data exists</w:t>
      </w:r>
    </w:p>
    <w:p>
      <w:pPr>
        <w:pStyle w:val="Heading1"/>
        <w:spacing w:after="200" w:before="400"/>
      </w:pPr>
      <w:r>
        <w:t xml:space="preserve">4.5 Benefits Realisation Framework</w:t>
      </w:r>
    </w:p>
    <w:p>
      <w:pPr>
        <w:spacing w:after="160"/>
      </w:pPr>
      <w:r>
        <w:t xml:space="preserve">Each business objective has a defined benefit owner and a review point. Benefits are not assumed at launch, they are measured against the Section 4.4 success measures starting from the first full month of operational data, and reported formally in Section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0E7C7B" w:val="clear"/>
          </w:tcPr>
          <w:p>
            <w:r>
              <w:rPr>
                <w:b/>
                <w:bCs/>
                <w:color w:val="FFFFFF"/>
                <w:sz w:val="20"/>
                <w:szCs w:val="20"/>
              </w:rPr>
              <w:t xml:space="preserve">Objective</w:t>
            </w:r>
          </w:p>
        </w:tc>
        <w:tc>
          <w:tcPr>
            <w:tcW w:type="dxa" w:w="3600"/>
            <w:shd w:fill="0E7C7B" w:val="clear"/>
          </w:tcPr>
          <w:p>
            <w:r>
              <w:rPr>
                <w:b/>
                <w:bCs/>
                <w:color w:val="FFFFFF"/>
                <w:sz w:val="20"/>
                <w:szCs w:val="20"/>
              </w:rPr>
              <w:t xml:space="preserve">Benefit Owner (Persona)</w:t>
            </w:r>
          </w:p>
        </w:tc>
        <w:tc>
          <w:tcPr>
            <w:tcW w:type="dxa" w:w="3400"/>
            <w:shd w:fill="0E7C7B" w:val="clear"/>
          </w:tcPr>
          <w:p>
            <w:r>
              <w:rPr>
                <w:b/>
                <w:bCs/>
                <w:color w:val="FFFFFF"/>
                <w:sz w:val="20"/>
                <w:szCs w:val="20"/>
              </w:rPr>
              <w:t xml:space="preserve">Review Point</w:t>
            </w:r>
          </w:p>
        </w:tc>
      </w:tr>
      <w:tr>
        <w:tc>
          <w:tcPr>
            <w:tcW w:type="dxa" w:w="2000"/>
          </w:tcPr>
          <w:p>
            <w:r>
              <w:rPr>
                <w:b w:val="false"/>
                <w:bCs w:val="false"/>
                <w:color w:val="000000"/>
                <w:sz w:val="20"/>
                <w:szCs w:val="20"/>
              </w:rPr>
              <w:t xml:space="preserve">BO-01</w:t>
            </w:r>
          </w:p>
        </w:tc>
        <w:tc>
          <w:tcPr>
            <w:tcW w:type="dxa" w:w="3600"/>
          </w:tcPr>
          <w:p>
            <w:r>
              <w:rPr>
                <w:b w:val="false"/>
                <w:bCs w:val="false"/>
                <w:color w:val="000000"/>
                <w:sz w:val="20"/>
                <w:szCs w:val="20"/>
              </w:rPr>
              <w:t xml:space="preserve">Product Owner Persona</w:t>
            </w:r>
          </w:p>
        </w:tc>
        <w:tc>
          <w:tcPr>
            <w:tcW w:type="dxa" w:w="3400"/>
          </w:tcPr>
          <w:p>
            <w:r>
              <w:rPr>
                <w:b w:val="false"/>
                <w:bCs w:val="false"/>
                <w:color w:val="000000"/>
                <w:sz w:val="20"/>
                <w:szCs w:val="20"/>
              </w:rPr>
              <w:t xml:space="preserve">First full month post-launch</w:t>
            </w:r>
          </w:p>
        </w:tc>
      </w:tr>
      <w:tr>
        <w:tc>
          <w:tcPr>
            <w:tcW w:type="dxa" w:w="2000"/>
          </w:tcPr>
          <w:p>
            <w:r>
              <w:rPr>
                <w:b w:val="false"/>
                <w:bCs w:val="false"/>
                <w:color w:val="000000"/>
                <w:sz w:val="20"/>
                <w:szCs w:val="20"/>
              </w:rPr>
              <w:t xml:space="preserve">BO-02</w:t>
            </w:r>
          </w:p>
        </w:tc>
        <w:tc>
          <w:tcPr>
            <w:tcW w:type="dxa" w:w="3600"/>
          </w:tcPr>
          <w:p>
            <w:r>
              <w:rPr>
                <w:b w:val="false"/>
                <w:bCs w:val="false"/>
                <w:color w:val="000000"/>
                <w:sz w:val="20"/>
                <w:szCs w:val="20"/>
              </w:rPr>
              <w:t xml:space="preserve">Product Owner Persona</w:t>
            </w:r>
          </w:p>
        </w:tc>
        <w:tc>
          <w:tcPr>
            <w:tcW w:type="dxa" w:w="3400"/>
          </w:tcPr>
          <w:p>
            <w:r>
              <w:rPr>
                <w:b w:val="false"/>
                <w:bCs w:val="false"/>
                <w:color w:val="000000"/>
                <w:sz w:val="20"/>
                <w:szCs w:val="20"/>
              </w:rPr>
              <w:t xml:space="preserve">First full month post-launch</w:t>
            </w:r>
          </w:p>
        </w:tc>
      </w:tr>
      <w:tr>
        <w:tc>
          <w:tcPr>
            <w:tcW w:type="dxa" w:w="2000"/>
          </w:tcPr>
          <w:p>
            <w:r>
              <w:rPr>
                <w:b w:val="false"/>
                <w:bCs w:val="false"/>
                <w:color w:val="000000"/>
                <w:sz w:val="20"/>
                <w:szCs w:val="20"/>
              </w:rPr>
              <w:t xml:space="preserve">BO-03</w:t>
            </w:r>
          </w:p>
        </w:tc>
        <w:tc>
          <w:tcPr>
            <w:tcW w:type="dxa" w:w="3600"/>
          </w:tcPr>
          <w:p>
            <w:r>
              <w:rPr>
                <w:b w:val="false"/>
                <w:bCs w:val="false"/>
                <w:color w:val="000000"/>
                <w:sz w:val="20"/>
                <w:szCs w:val="20"/>
              </w:rPr>
              <w:t xml:space="preserve">Product Owner Persona</w:t>
            </w:r>
          </w:p>
        </w:tc>
        <w:tc>
          <w:tcPr>
            <w:tcW w:type="dxa" w:w="3400"/>
          </w:tcPr>
          <w:p>
            <w:r>
              <w:rPr>
                <w:b w:val="false"/>
                <w:bCs w:val="false"/>
                <w:color w:val="000000"/>
                <w:sz w:val="20"/>
                <w:szCs w:val="20"/>
              </w:rPr>
              <w:t xml:space="preserve">First full month post-launch</w:t>
            </w:r>
          </w:p>
        </w:tc>
      </w:tr>
      <w:tr>
        <w:tc>
          <w:tcPr>
            <w:tcW w:type="dxa" w:w="2000"/>
          </w:tcPr>
          <w:p>
            <w:r>
              <w:rPr>
                <w:b w:val="false"/>
                <w:bCs w:val="false"/>
                <w:color w:val="000000"/>
                <w:sz w:val="20"/>
                <w:szCs w:val="20"/>
              </w:rPr>
              <w:t xml:space="preserve">BO-04</w:t>
            </w:r>
          </w:p>
        </w:tc>
        <w:tc>
          <w:tcPr>
            <w:tcW w:type="dxa" w:w="3600"/>
          </w:tcPr>
          <w:p>
            <w:r>
              <w:rPr>
                <w:b w:val="false"/>
                <w:bCs w:val="false"/>
                <w:color w:val="000000"/>
                <w:sz w:val="20"/>
                <w:szCs w:val="20"/>
              </w:rPr>
              <w:t xml:space="preserve">Product Sponsor Persona</w:t>
            </w:r>
          </w:p>
        </w:tc>
        <w:tc>
          <w:tcPr>
            <w:tcW w:type="dxa" w:w="3400"/>
          </w:tcPr>
          <w:p>
            <w:r>
              <w:rPr>
                <w:b w:val="false"/>
                <w:bCs w:val="false"/>
                <w:color w:val="000000"/>
                <w:sz w:val="20"/>
                <w:szCs w:val="20"/>
              </w:rPr>
              <w:t xml:space="preserve">Ongoing, reviewed quarterly</w:t>
            </w:r>
          </w:p>
        </w:tc>
      </w:tr>
    </w:tbl>
    <w:p>
      <w:pPr>
        <w:pStyle w:val="Heading1"/>
        <w:spacing w:after="200" w:before="400"/>
      </w:pPr>
      <w:r>
        <w:t xml:space="preserve">4.6 Feature Value Assessment</w:t>
      </w:r>
    </w:p>
    <w:p>
      <w:pPr>
        <w:spacing w:after="160"/>
      </w:pPr>
      <w:r>
        <w:t xml:space="preserve">I assessed features on two axes, business value against BO-01 through BO-04, and delivery complexity, to inform the MVP decision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2800"/>
      </w:tblGrid>
      <w:tr>
        <w:tc>
          <w:tcPr>
            <w:tcW w:type="dxa" w:w="3400"/>
            <w:shd w:fill="0E7C7B" w:val="clear"/>
          </w:tcPr>
          <w:p>
            <w:r>
              <w:rPr>
                <w:b/>
                <w:bCs/>
                <w:color w:val="FFFFFF"/>
                <w:sz w:val="20"/>
                <w:szCs w:val="20"/>
              </w:rPr>
              <w:t xml:space="preserve">Feature</w:t>
            </w:r>
          </w:p>
        </w:tc>
        <w:tc>
          <w:tcPr>
            <w:tcW w:type="dxa" w:w="1400"/>
            <w:shd w:fill="0E7C7B" w:val="clear"/>
          </w:tcPr>
          <w:p>
            <w:r>
              <w:rPr>
                <w:b/>
                <w:bCs/>
                <w:color w:val="FFFFFF"/>
                <w:sz w:val="20"/>
                <w:szCs w:val="20"/>
              </w:rPr>
              <w:t xml:space="preserve">Business Value</w:t>
            </w:r>
          </w:p>
        </w:tc>
        <w:tc>
          <w:tcPr>
            <w:tcW w:type="dxa" w:w="1400"/>
            <w:shd w:fill="0E7C7B" w:val="clear"/>
          </w:tcPr>
          <w:p>
            <w:r>
              <w:rPr>
                <w:b/>
                <w:bCs/>
                <w:color w:val="FFFFFF"/>
                <w:sz w:val="20"/>
                <w:szCs w:val="20"/>
              </w:rPr>
              <w:t xml:space="preserve">Complexity</w:t>
            </w:r>
          </w:p>
        </w:tc>
        <w:tc>
          <w:tcPr>
            <w:tcW w:type="dxa" w:w="2800"/>
            <w:shd w:fill="0E7C7B" w:val="clear"/>
          </w:tcPr>
          <w:p>
            <w:r>
              <w:rPr>
                <w:b/>
                <w:bCs/>
                <w:color w:val="FFFFFF"/>
                <w:sz w:val="20"/>
                <w:szCs w:val="20"/>
              </w:rPr>
              <w:t xml:space="preserve">MVP Decision</w:t>
            </w:r>
          </w:p>
        </w:tc>
      </w:tr>
      <w:tr>
        <w:tc>
          <w:tcPr>
            <w:tcW w:type="dxa" w:w="3400"/>
          </w:tcPr>
          <w:p>
            <w:r>
              <w:rPr>
                <w:b w:val="false"/>
                <w:bCs w:val="false"/>
                <w:color w:val="000000"/>
                <w:sz w:val="20"/>
                <w:szCs w:val="20"/>
              </w:rPr>
              <w:t xml:space="preserve">Plant Library search and vetted content (FR-01, FR-02)</w:t>
            </w:r>
          </w:p>
        </w:tc>
        <w:tc>
          <w:tcPr>
            <w:tcW w:type="dxa" w:w="1400"/>
          </w:tcPr>
          <w:p>
            <w:r>
              <w:rPr>
                <w:b w:val="false"/>
                <w:bCs w:val="false"/>
                <w:color w:val="000000"/>
                <w:sz w:val="20"/>
                <w:szCs w:val="20"/>
              </w:rPr>
              <w:t xml:space="preserve">High</w:t>
            </w:r>
          </w:p>
        </w:tc>
        <w:tc>
          <w:tcPr>
            <w:tcW w:type="dxa" w:w="1400"/>
          </w:tcPr>
          <w:p>
            <w:r>
              <w:rPr>
                <w:b w:val="false"/>
                <w:bCs w:val="false"/>
                <w:color w:val="000000"/>
                <w:sz w:val="20"/>
                <w:szCs w:val="20"/>
              </w:rPr>
              <w:t xml:space="preserve">Medium</w:t>
            </w:r>
          </w:p>
        </w:tc>
        <w:tc>
          <w:tcPr>
            <w:tcW w:type="dxa" w:w="2800"/>
          </w:tcPr>
          <w:p>
            <w:r>
              <w:rPr>
                <w:b w:val="false"/>
                <w:bCs w:val="false"/>
                <w:color w:val="000000"/>
                <w:sz w:val="20"/>
                <w:szCs w:val="20"/>
              </w:rPr>
              <w:t xml:space="preserve">In</w:t>
            </w:r>
          </w:p>
        </w:tc>
      </w:tr>
      <w:tr>
        <w:tc>
          <w:tcPr>
            <w:tcW w:type="dxa" w:w="3400"/>
          </w:tcPr>
          <w:p>
            <w:r>
              <w:rPr>
                <w:b w:val="false"/>
                <w:bCs w:val="false"/>
                <w:color w:val="000000"/>
                <w:sz w:val="20"/>
                <w:szCs w:val="20"/>
              </w:rPr>
              <w:t xml:space="preserve">Community Forum posting and response (FR-03, FR-04)</w:t>
            </w:r>
          </w:p>
        </w:tc>
        <w:tc>
          <w:tcPr>
            <w:tcW w:type="dxa" w:w="1400"/>
          </w:tcPr>
          <w:p>
            <w:r>
              <w:rPr>
                <w:b w:val="false"/>
                <w:bCs w:val="false"/>
                <w:color w:val="000000"/>
                <w:sz w:val="20"/>
                <w:szCs w:val="20"/>
              </w:rPr>
              <w:t xml:space="preserve">Medium</w:t>
            </w:r>
          </w:p>
        </w:tc>
        <w:tc>
          <w:tcPr>
            <w:tcW w:type="dxa" w:w="1400"/>
          </w:tcPr>
          <w:p>
            <w:r>
              <w:rPr>
                <w:b w:val="false"/>
                <w:bCs w:val="false"/>
                <w:color w:val="000000"/>
                <w:sz w:val="20"/>
                <w:szCs w:val="20"/>
              </w:rPr>
              <w:t xml:space="preserve">Medium</w:t>
            </w:r>
          </w:p>
        </w:tc>
        <w:tc>
          <w:tcPr>
            <w:tcW w:type="dxa" w:w="2800"/>
          </w:tcPr>
          <w:p>
            <w:r>
              <w:rPr>
                <w:b w:val="false"/>
                <w:bCs w:val="false"/>
                <w:color w:val="000000"/>
                <w:sz w:val="20"/>
                <w:szCs w:val="20"/>
              </w:rPr>
              <w:t xml:space="preserve">Partial, posting in, response deferred</w:t>
            </w:r>
          </w:p>
        </w:tc>
      </w:tr>
      <w:tr>
        <w:tc>
          <w:tcPr>
            <w:tcW w:type="dxa" w:w="3400"/>
          </w:tcPr>
          <w:p>
            <w:r>
              <w:rPr>
                <w:b w:val="false"/>
                <w:bCs w:val="false"/>
                <w:color w:val="000000"/>
                <w:sz w:val="20"/>
                <w:szCs w:val="20"/>
              </w:rPr>
              <w:t xml:space="preserve">Planting and harvest logging (FR-05, FR-06)</w:t>
            </w:r>
          </w:p>
        </w:tc>
        <w:tc>
          <w:tcPr>
            <w:tcW w:type="dxa" w:w="1400"/>
          </w:tcPr>
          <w:p>
            <w:r>
              <w:rPr>
                <w:b w:val="false"/>
                <w:bCs w:val="false"/>
                <w:color w:val="000000"/>
                <w:sz w:val="20"/>
                <w:szCs w:val="20"/>
              </w:rPr>
              <w:t xml:space="preserve">High</w:t>
            </w:r>
          </w:p>
        </w:tc>
        <w:tc>
          <w:tcPr>
            <w:tcW w:type="dxa" w:w="1400"/>
          </w:tcPr>
          <w:p>
            <w:r>
              <w:rPr>
                <w:b w:val="false"/>
                <w:bCs w:val="false"/>
                <w:color w:val="000000"/>
                <w:sz w:val="20"/>
                <w:szCs w:val="20"/>
              </w:rPr>
              <w:t xml:space="preserve">Low</w:t>
            </w:r>
          </w:p>
        </w:tc>
        <w:tc>
          <w:tcPr>
            <w:tcW w:type="dxa" w:w="2800"/>
          </w:tcPr>
          <w:p>
            <w:r>
              <w:rPr>
                <w:b w:val="false"/>
                <w:bCs w:val="false"/>
                <w:color w:val="000000"/>
                <w:sz w:val="20"/>
                <w:szCs w:val="20"/>
              </w:rPr>
              <w:t xml:space="preserve">In</w:t>
            </w:r>
          </w:p>
        </w:tc>
      </w:tr>
      <w:tr>
        <w:tc>
          <w:tcPr>
            <w:tcW w:type="dxa" w:w="3400"/>
          </w:tcPr>
          <w:p>
            <w:r>
              <w:rPr>
                <w:b w:val="false"/>
                <w:bCs w:val="false"/>
                <w:color w:val="000000"/>
                <w:sz w:val="20"/>
                <w:szCs w:val="20"/>
              </w:rPr>
              <w:t xml:space="preserve">Visual progress timeline (FR-07)</w:t>
            </w:r>
          </w:p>
        </w:tc>
        <w:tc>
          <w:tcPr>
            <w:tcW w:type="dxa" w:w="1400"/>
          </w:tcPr>
          <w:p>
            <w:r>
              <w:rPr>
                <w:b w:val="false"/>
                <w:bCs w:val="false"/>
                <w:color w:val="000000"/>
                <w:sz w:val="20"/>
                <w:szCs w:val="20"/>
              </w:rPr>
              <w:t xml:space="preserve">Medium</w:t>
            </w:r>
          </w:p>
        </w:tc>
        <w:tc>
          <w:tcPr>
            <w:tcW w:type="dxa" w:w="1400"/>
          </w:tcPr>
          <w:p>
            <w:r>
              <w:rPr>
                <w:b w:val="false"/>
                <w:bCs w:val="false"/>
                <w:color w:val="000000"/>
                <w:sz w:val="20"/>
                <w:szCs w:val="20"/>
              </w:rPr>
              <w:t xml:space="preserve">Medium</w:t>
            </w:r>
          </w:p>
        </w:tc>
        <w:tc>
          <w:tcPr>
            <w:tcW w:type="dxa" w:w="2800"/>
          </w:tcPr>
          <w:p>
            <w:r>
              <w:rPr>
                <w:b w:val="false"/>
                <w:bCs w:val="false"/>
                <w:color w:val="000000"/>
                <w:sz w:val="20"/>
                <w:szCs w:val="20"/>
              </w:rPr>
              <w:t xml:space="preserve">Out of MVP</w:t>
            </w:r>
          </w:p>
        </w:tc>
      </w:tr>
      <w:tr>
        <w:tc>
          <w:tcPr>
            <w:tcW w:type="dxa" w:w="3400"/>
          </w:tcPr>
          <w:p>
            <w:r>
              <w:rPr>
                <w:b w:val="false"/>
                <w:bCs w:val="false"/>
                <w:color w:val="000000"/>
                <w:sz w:val="20"/>
                <w:szCs w:val="20"/>
              </w:rPr>
              <w:t xml:space="preserve">Usage event capture (FR-08)</w:t>
            </w:r>
          </w:p>
        </w:tc>
        <w:tc>
          <w:tcPr>
            <w:tcW w:type="dxa" w:w="1400"/>
          </w:tcPr>
          <w:p>
            <w:r>
              <w:rPr>
                <w:b w:val="false"/>
                <w:bCs w:val="false"/>
                <w:color w:val="000000"/>
                <w:sz w:val="20"/>
                <w:szCs w:val="20"/>
              </w:rPr>
              <w:t xml:space="preserve">High</w:t>
            </w:r>
          </w:p>
        </w:tc>
        <w:tc>
          <w:tcPr>
            <w:tcW w:type="dxa" w:w="1400"/>
          </w:tcPr>
          <w:p>
            <w:r>
              <w:rPr>
                <w:b w:val="false"/>
                <w:bCs w:val="false"/>
                <w:color w:val="000000"/>
                <w:sz w:val="20"/>
                <w:szCs w:val="20"/>
              </w:rPr>
              <w:t xml:space="preserve">Low</w:t>
            </w:r>
          </w:p>
        </w:tc>
        <w:tc>
          <w:tcPr>
            <w:tcW w:type="dxa" w:w="2800"/>
          </w:tcPr>
          <w:p>
            <w:r>
              <w:rPr>
                <w:b w:val="false"/>
                <w:bCs w:val="false"/>
                <w:color w:val="000000"/>
                <w:sz w:val="20"/>
                <w:szCs w:val="20"/>
              </w:rPr>
              <w:t xml:space="preserve">In, non-negotiable per BO-04</w:t>
            </w:r>
          </w:p>
        </w:tc>
      </w:tr>
      <w:tr>
        <w:tc>
          <w:tcPr>
            <w:tcW w:type="dxa" w:w="3400"/>
          </w:tcPr>
          <w:p>
            <w:r>
              <w:rPr>
                <w:b w:val="false"/>
                <w:bCs w:val="false"/>
                <w:color w:val="000000"/>
                <w:sz w:val="20"/>
                <w:szCs w:val="20"/>
              </w:rPr>
              <w:t xml:space="preserve">Post-harvest satisfaction prompt (FR-09)</w:t>
            </w:r>
          </w:p>
        </w:tc>
        <w:tc>
          <w:tcPr>
            <w:tcW w:type="dxa" w:w="1400"/>
          </w:tcPr>
          <w:p>
            <w:r>
              <w:rPr>
                <w:b w:val="false"/>
                <w:bCs w:val="false"/>
                <w:color w:val="000000"/>
                <w:sz w:val="20"/>
                <w:szCs w:val="20"/>
              </w:rPr>
              <w:t xml:space="preserve">High</w:t>
            </w:r>
          </w:p>
        </w:tc>
        <w:tc>
          <w:tcPr>
            <w:tcW w:type="dxa" w:w="1400"/>
          </w:tcPr>
          <w:p>
            <w:r>
              <w:rPr>
                <w:b w:val="false"/>
                <w:bCs w:val="false"/>
                <w:color w:val="000000"/>
                <w:sz w:val="20"/>
                <w:szCs w:val="20"/>
              </w:rPr>
              <w:t xml:space="preserve">Low</w:t>
            </w:r>
          </w:p>
        </w:tc>
        <w:tc>
          <w:tcPr>
            <w:tcW w:type="dxa" w:w="2800"/>
          </w:tcPr>
          <w:p>
            <w:r>
              <w:rPr>
                <w:b w:val="false"/>
                <w:bCs w:val="false"/>
                <w:color w:val="000000"/>
                <w:sz w:val="20"/>
                <w:szCs w:val="20"/>
              </w:rPr>
              <w:t xml:space="preserve">In, added after Power BI planning surfaced the Customer Satisfaction gap</w:t>
            </w:r>
          </w:p>
        </w:tc>
      </w:tr>
    </w:tbl>
    <w:p>
      <w:pPr>
        <w:pStyle w:val="Heading1"/>
        <w:spacing w:after="200" w:before="400"/>
      </w:pPr>
      <w:r>
        <w:t xml:space="preserve">4.7 Product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c>
          <w:tcPr>
            <w:tcW w:type="dxa" w:w="2200"/>
            <w:shd w:fill="0E7C7B" w:val="clear"/>
          </w:tcPr>
          <w:p>
            <w:r>
              <w:rPr>
                <w:b/>
                <w:bCs/>
                <w:color w:val="FFFFFF"/>
                <w:sz w:val="20"/>
                <w:szCs w:val="20"/>
              </w:rPr>
              <w:t xml:space="preserve">Phase</w:t>
            </w:r>
          </w:p>
        </w:tc>
        <w:tc>
          <w:tcPr>
            <w:tcW w:type="dxa" w:w="4400"/>
            <w:shd w:fill="0E7C7B" w:val="clear"/>
          </w:tcPr>
          <w:p>
            <w:r>
              <w:rPr>
                <w:b/>
                <w:bCs/>
                <w:color w:val="FFFFFF"/>
                <w:sz w:val="20"/>
                <w:szCs w:val="20"/>
              </w:rPr>
              <w:t xml:space="preserve">Focus</w:t>
            </w:r>
          </w:p>
        </w:tc>
        <w:tc>
          <w:tcPr>
            <w:tcW w:type="dxa" w:w="2400"/>
            <w:shd w:fill="0E7C7B" w:val="clear"/>
          </w:tcPr>
          <w:p>
            <w:r>
              <w:rPr>
                <w:b/>
                <w:bCs/>
                <w:color w:val="FFFFFF"/>
                <w:sz w:val="20"/>
                <w:szCs w:val="20"/>
              </w:rPr>
              <w:t xml:space="preserve">Depends on</w:t>
            </w:r>
          </w:p>
        </w:tc>
      </w:tr>
      <w:tr>
        <w:tc>
          <w:tcPr>
            <w:tcW w:type="dxa" w:w="2200"/>
          </w:tcPr>
          <w:p>
            <w:r>
              <w:rPr>
                <w:b w:val="false"/>
                <w:bCs w:val="false"/>
                <w:color w:val="000000"/>
                <w:sz w:val="20"/>
                <w:szCs w:val="20"/>
              </w:rPr>
              <w:t xml:space="preserve">MVP (Sprints 1-3)</w:t>
            </w:r>
          </w:p>
        </w:tc>
        <w:tc>
          <w:tcPr>
            <w:tcW w:type="dxa" w:w="4400"/>
          </w:tcPr>
          <w:p>
            <w:r>
              <w:rPr>
                <w:b w:val="false"/>
                <w:bCs w:val="false"/>
                <w:color w:val="000000"/>
                <w:sz w:val="20"/>
                <w:szCs w:val="20"/>
              </w:rPr>
              <w:t xml:space="preserve">Plant Library, Harvest Tracker, Forum posting</w:t>
            </w:r>
          </w:p>
        </w:tc>
        <w:tc>
          <w:tcPr>
            <w:tcW w:type="dxa" w:w="2400"/>
          </w:tcPr>
          <w:p>
            <w:r>
              <w:rPr>
                <w:b w:val="false"/>
                <w:bCs w:val="false"/>
                <w:color w:val="000000"/>
                <w:sz w:val="20"/>
                <w:szCs w:val="20"/>
              </w:rPr>
              <w:t xml:space="preserve">Section 5 backlog</w:t>
            </w:r>
          </w:p>
        </w:tc>
      </w:tr>
      <w:tr>
        <w:tc>
          <w:tcPr>
            <w:tcW w:type="dxa" w:w="2200"/>
          </w:tcPr>
          <w:p>
            <w:r>
              <w:rPr>
                <w:b w:val="false"/>
                <w:bCs w:val="false"/>
                <w:color w:val="000000"/>
                <w:sz w:val="20"/>
                <w:szCs w:val="20"/>
              </w:rPr>
              <w:t xml:space="preserve">Phase 2</w:t>
            </w:r>
          </w:p>
        </w:tc>
        <w:tc>
          <w:tcPr>
            <w:tcW w:type="dxa" w:w="4400"/>
          </w:tcPr>
          <w:p>
            <w:r>
              <w:rPr>
                <w:b w:val="false"/>
                <w:bCs w:val="false"/>
                <w:color w:val="000000"/>
                <w:sz w:val="20"/>
                <w:szCs w:val="20"/>
              </w:rPr>
              <w:t xml:space="preserve">Forum response and community interaction depth</w:t>
            </w:r>
          </w:p>
        </w:tc>
        <w:tc>
          <w:tcPr>
            <w:tcW w:type="dxa" w:w="2400"/>
          </w:tcPr>
          <w:p>
            <w:r>
              <w:rPr>
                <w:b w:val="false"/>
                <w:bCs w:val="false"/>
                <w:color w:val="000000"/>
                <w:sz w:val="20"/>
                <w:szCs w:val="20"/>
              </w:rPr>
              <w:t xml:space="preserve">MVP validation, Section 7</w:t>
            </w:r>
          </w:p>
        </w:tc>
      </w:tr>
      <w:tr>
        <w:tc>
          <w:tcPr>
            <w:tcW w:type="dxa" w:w="2200"/>
          </w:tcPr>
          <w:p>
            <w:r>
              <w:rPr>
                <w:b w:val="false"/>
                <w:bCs w:val="false"/>
                <w:color w:val="000000"/>
                <w:sz w:val="20"/>
                <w:szCs w:val="20"/>
              </w:rPr>
              <w:t xml:space="preserve">Phase 3</w:t>
            </w:r>
          </w:p>
        </w:tc>
        <w:tc>
          <w:tcPr>
            <w:tcW w:type="dxa" w:w="4400"/>
          </w:tcPr>
          <w:p>
            <w:r>
              <w:rPr>
                <w:b w:val="false"/>
                <w:bCs w:val="false"/>
                <w:color w:val="000000"/>
                <w:sz w:val="20"/>
                <w:szCs w:val="20"/>
              </w:rPr>
              <w:t xml:space="preserve">Visual progress timeline, engagement features</w:t>
            </w:r>
          </w:p>
        </w:tc>
        <w:tc>
          <w:tcPr>
            <w:tcW w:type="dxa" w:w="2400"/>
          </w:tcPr>
          <w:p>
            <w:r>
              <w:rPr>
                <w:b w:val="false"/>
                <w:bCs w:val="false"/>
                <w:color w:val="000000"/>
                <w:sz w:val="20"/>
                <w:szCs w:val="20"/>
              </w:rPr>
              <w:t xml:space="preserve">Phase 2 usage data</w:t>
            </w:r>
          </w:p>
        </w:tc>
      </w:tr>
    </w:tbl>
    <w:p>
      <w:pPr>
        <w:pStyle w:val="Heading1"/>
        <w:spacing w:after="200" w:before="400"/>
      </w:pPr>
      <w:r>
        <w:t xml:space="preserve">4.8 MVP Definition</w:t>
      </w:r>
    </w:p>
    <w:p>
      <w:pPr>
        <w:spacing w:after="160"/>
      </w:pPr>
      <w:r>
        <w:t xml:space="preserve">I defined the MVP as the smallest version of EcoGrow that lets a gardener search vetted plant-care content, log a planting through to a harvest, and post to the Community Forum, without response functionality.</w:t>
      </w:r>
    </w:p>
    <w:p>
      <w:pPr>
        <w:spacing w:after="160"/>
      </w:pPr>
      <w:r>
        <w:t xml:space="preserve">This scope directly addresses all three of GreenSphere's stated problems at a basic level, rather than solving one problem completely while leaving the other two untouched, which is why forum posting is in the MVP even though forum response is deferred.</w:t>
      </w:r>
    </w:p>
    <w:p>
      <w:pPr>
        <w:pStyle w:val="Heading1"/>
        <w:spacing w:after="200" w:before="400"/>
      </w:pPr>
      <w:r>
        <w:t xml:space="preserve">4.9 Epic Catalogue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500"/>
      </w:tblGrid>
      <w:tr>
        <w:tc>
          <w:tcPr>
            <w:tcW w:type="dxa" w:w="1300"/>
            <w:shd w:fill="0E7C7B" w:val="clear"/>
          </w:tcPr>
          <w:p>
            <w:r>
              <w:rPr>
                <w:b/>
                <w:bCs/>
                <w:color w:val="FFFFFF"/>
                <w:sz w:val="20"/>
                <w:szCs w:val="20"/>
              </w:rPr>
              <w:t xml:space="preserve">Epic ID</w:t>
            </w:r>
          </w:p>
        </w:tc>
        <w:tc>
          <w:tcPr>
            <w:tcW w:type="dxa" w:w="2600"/>
            <w:shd w:fill="0E7C7B" w:val="clear"/>
          </w:tcPr>
          <w:p>
            <w:r>
              <w:rPr>
                <w:b/>
                <w:bCs/>
                <w:color w:val="FFFFFF"/>
                <w:sz w:val="20"/>
                <w:szCs w:val="20"/>
              </w:rPr>
              <w:t xml:space="preserve">Epic</w:t>
            </w:r>
          </w:p>
        </w:tc>
        <w:tc>
          <w:tcPr>
            <w:tcW w:type="dxa" w:w="2600"/>
            <w:shd w:fill="0E7C7B" w:val="clear"/>
          </w:tcPr>
          <w:p>
            <w:r>
              <w:rPr>
                <w:b/>
                <w:bCs/>
                <w:color w:val="FFFFFF"/>
                <w:sz w:val="20"/>
                <w:szCs w:val="20"/>
              </w:rPr>
              <w:t xml:space="preserve">Core Capability</w:t>
            </w:r>
          </w:p>
        </w:tc>
        <w:tc>
          <w:tcPr>
            <w:tcW w:type="dxa" w:w="2500"/>
            <w:shd w:fill="0E7C7B" w:val="clear"/>
          </w:tcPr>
          <w:p>
            <w:r>
              <w:rPr>
                <w:b/>
                <w:bCs/>
                <w:color w:val="FFFFFF"/>
                <w:sz w:val="20"/>
                <w:szCs w:val="20"/>
              </w:rPr>
              <w:t xml:space="preserve">MVP</w:t>
            </w:r>
          </w:p>
        </w:tc>
      </w:tr>
      <w:tr>
        <w:tc>
          <w:tcPr>
            <w:tcW w:type="dxa" w:w="1300"/>
          </w:tcPr>
          <w:p>
            <w:r>
              <w:rPr>
                <w:b w:val="false"/>
                <w:bCs w:val="false"/>
                <w:color w:val="000000"/>
                <w:sz w:val="20"/>
                <w:szCs w:val="20"/>
              </w:rPr>
              <w:t xml:space="preserve">EPIC-01</w:t>
            </w:r>
          </w:p>
        </w:tc>
        <w:tc>
          <w:tcPr>
            <w:tcW w:type="dxa" w:w="2600"/>
          </w:tcPr>
          <w:p>
            <w:r>
              <w:rPr>
                <w:b w:val="false"/>
                <w:bCs w:val="false"/>
                <w:color w:val="000000"/>
                <w:sz w:val="20"/>
                <w:szCs w:val="20"/>
              </w:rPr>
              <w:t xml:space="preserve">Plant Library</w:t>
            </w:r>
          </w:p>
        </w:tc>
        <w:tc>
          <w:tcPr>
            <w:tcW w:type="dxa" w:w="2600"/>
          </w:tcPr>
          <w:p>
            <w:r>
              <w:rPr>
                <w:b w:val="false"/>
                <w:bCs w:val="false"/>
                <w:color w:val="000000"/>
                <w:sz w:val="20"/>
                <w:szCs w:val="20"/>
              </w:rPr>
              <w:t xml:space="preserve">Plant Library</w:t>
            </w:r>
          </w:p>
        </w:tc>
        <w:tc>
          <w:tcPr>
            <w:tcW w:type="dxa" w:w="2500"/>
          </w:tcPr>
          <w:p>
            <w:r>
              <w:rPr>
                <w:b w:val="false"/>
                <w:bCs w:val="false"/>
                <w:color w:val="000000"/>
                <w:sz w:val="20"/>
                <w:szCs w:val="20"/>
              </w:rPr>
              <w:t xml:space="preserve">Yes</w:t>
            </w:r>
          </w:p>
        </w:tc>
      </w:tr>
      <w:tr>
        <w:tc>
          <w:tcPr>
            <w:tcW w:type="dxa" w:w="1300"/>
          </w:tcPr>
          <w:p>
            <w:r>
              <w:rPr>
                <w:b w:val="false"/>
                <w:bCs w:val="false"/>
                <w:color w:val="000000"/>
                <w:sz w:val="20"/>
                <w:szCs w:val="20"/>
              </w:rPr>
              <w:t xml:space="preserve">EPIC-02</w:t>
            </w:r>
          </w:p>
        </w:tc>
        <w:tc>
          <w:tcPr>
            <w:tcW w:type="dxa" w:w="2600"/>
          </w:tcPr>
          <w:p>
            <w:r>
              <w:rPr>
                <w:b w:val="false"/>
                <w:bCs w:val="false"/>
                <w:color w:val="000000"/>
                <w:sz w:val="20"/>
                <w:szCs w:val="20"/>
              </w:rPr>
              <w:t xml:space="preserve">Harvest Tracker</w:t>
            </w:r>
          </w:p>
        </w:tc>
        <w:tc>
          <w:tcPr>
            <w:tcW w:type="dxa" w:w="2600"/>
          </w:tcPr>
          <w:p>
            <w:r>
              <w:rPr>
                <w:b w:val="false"/>
                <w:bCs w:val="false"/>
                <w:color w:val="000000"/>
                <w:sz w:val="20"/>
                <w:szCs w:val="20"/>
              </w:rPr>
              <w:t xml:space="preserve">Harvest Tracker</w:t>
            </w:r>
          </w:p>
        </w:tc>
        <w:tc>
          <w:tcPr>
            <w:tcW w:type="dxa" w:w="2500"/>
          </w:tcPr>
          <w:p>
            <w:r>
              <w:rPr>
                <w:b w:val="false"/>
                <w:bCs w:val="false"/>
                <w:color w:val="000000"/>
                <w:sz w:val="20"/>
                <w:szCs w:val="20"/>
              </w:rPr>
              <w:t xml:space="preserve">Yes</w:t>
            </w:r>
          </w:p>
        </w:tc>
      </w:tr>
      <w:tr>
        <w:tc>
          <w:tcPr>
            <w:tcW w:type="dxa" w:w="1300"/>
          </w:tcPr>
          <w:p>
            <w:r>
              <w:rPr>
                <w:b w:val="false"/>
                <w:bCs w:val="false"/>
                <w:color w:val="000000"/>
                <w:sz w:val="20"/>
                <w:szCs w:val="20"/>
              </w:rPr>
              <w:t xml:space="preserve">EPIC-03</w:t>
            </w:r>
          </w:p>
        </w:tc>
        <w:tc>
          <w:tcPr>
            <w:tcW w:type="dxa" w:w="2600"/>
          </w:tcPr>
          <w:p>
            <w:r>
              <w:rPr>
                <w:b w:val="false"/>
                <w:bCs w:val="false"/>
                <w:color w:val="000000"/>
                <w:sz w:val="20"/>
                <w:szCs w:val="20"/>
              </w:rPr>
              <w:t xml:space="preserve">Community Forum</w:t>
            </w:r>
          </w:p>
        </w:tc>
        <w:tc>
          <w:tcPr>
            <w:tcW w:type="dxa" w:w="2600"/>
          </w:tcPr>
          <w:p>
            <w:r>
              <w:rPr>
                <w:b w:val="false"/>
                <w:bCs w:val="false"/>
                <w:color w:val="000000"/>
                <w:sz w:val="20"/>
                <w:szCs w:val="20"/>
              </w:rPr>
              <w:t xml:space="preserve">Community Forum</w:t>
            </w:r>
          </w:p>
        </w:tc>
        <w:tc>
          <w:tcPr>
            <w:tcW w:type="dxa" w:w="2500"/>
          </w:tcPr>
          <w:p>
            <w:r>
              <w:rPr>
                <w:b w:val="false"/>
                <w:bCs w:val="false"/>
                <w:color w:val="000000"/>
                <w:sz w:val="20"/>
                <w:szCs w:val="20"/>
              </w:rPr>
              <w:t xml:space="preserve">Partial, posting only</w:t>
            </w:r>
          </w:p>
        </w:tc>
      </w:tr>
      <w:tr>
        <w:tc>
          <w:tcPr>
            <w:tcW w:type="dxa" w:w="1300"/>
          </w:tcPr>
          <w:p>
            <w:r>
              <w:rPr>
                <w:b w:val="false"/>
                <w:bCs w:val="false"/>
                <w:color w:val="000000"/>
                <w:sz w:val="20"/>
                <w:szCs w:val="20"/>
              </w:rPr>
              <w:t xml:space="preserve">EPIC-04</w:t>
            </w:r>
          </w:p>
        </w:tc>
        <w:tc>
          <w:tcPr>
            <w:tcW w:type="dxa" w:w="2600"/>
          </w:tcPr>
          <w:p>
            <w:r>
              <w:rPr>
                <w:b w:val="false"/>
                <w:bCs w:val="false"/>
                <w:color w:val="000000"/>
                <w:sz w:val="20"/>
                <w:szCs w:val="20"/>
              </w:rPr>
              <w:t xml:space="preserve">Usage Analytics Capture</w:t>
            </w:r>
          </w:p>
        </w:tc>
        <w:tc>
          <w:tcPr>
            <w:tcW w:type="dxa" w:w="2600"/>
          </w:tcPr>
          <w:p>
            <w:r>
              <w:rPr>
                <w:b w:val="false"/>
                <w:bCs w:val="false"/>
                <w:color w:val="000000"/>
                <w:sz w:val="20"/>
                <w:szCs w:val="20"/>
              </w:rPr>
              <w:t xml:space="preserve">Cross-capability</w:t>
            </w:r>
          </w:p>
        </w:tc>
        <w:tc>
          <w:tcPr>
            <w:tcW w:type="dxa" w:w="2500"/>
          </w:tcPr>
          <w:p>
            <w:r>
              <w:rPr>
                <w:b w:val="false"/>
                <w:bCs w:val="false"/>
                <w:color w:val="000000"/>
                <w:sz w:val="20"/>
                <w:szCs w:val="20"/>
              </w:rPr>
              <w:t xml:space="preserve">Yes, extended to include FEAT-08</w:t>
            </w:r>
          </w:p>
        </w:tc>
      </w:tr>
    </w:tbl>
    <w:p>
      <w:pPr>
        <w:pStyle w:val="Heading1"/>
        <w:spacing w:after="200" w:before="400"/>
      </w:pPr>
      <w:r>
        <w:t xml:space="preserve">4.10 Feature Catalogue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3300"/>
      </w:tblGrid>
      <w:tr>
        <w:tc>
          <w:tcPr>
            <w:tcW w:type="dxa" w:w="1300"/>
            <w:shd w:fill="0E7C7B" w:val="clear"/>
          </w:tcPr>
          <w:p>
            <w:r>
              <w:rPr>
                <w:b/>
                <w:bCs/>
                <w:color w:val="FFFFFF"/>
                <w:sz w:val="20"/>
                <w:szCs w:val="20"/>
              </w:rPr>
              <w:t xml:space="preserve">Feature ID</w:t>
            </w:r>
          </w:p>
        </w:tc>
        <w:tc>
          <w:tcPr>
            <w:tcW w:type="dxa" w:w="3400"/>
            <w:shd w:fill="0E7C7B" w:val="clear"/>
          </w:tcPr>
          <w:p>
            <w:r>
              <w:rPr>
                <w:b/>
                <w:bCs/>
                <w:color w:val="FFFFFF"/>
                <w:sz w:val="20"/>
                <w:szCs w:val="20"/>
              </w:rPr>
              <w:t xml:space="preserve">Feature</w:t>
            </w:r>
          </w:p>
        </w:tc>
        <w:tc>
          <w:tcPr>
            <w:tcW w:type="dxa" w:w="3300"/>
            <w:shd w:fill="0E7C7B" w:val="clear"/>
          </w:tcPr>
          <w:p>
            <w:r>
              <w:rPr>
                <w:b/>
                <w:bCs/>
                <w:color w:val="FFFFFF"/>
                <w:sz w:val="20"/>
                <w:szCs w:val="20"/>
              </w:rPr>
              <w:t xml:space="preserve">Epic</w:t>
            </w:r>
          </w:p>
        </w:tc>
      </w:tr>
      <w:tr>
        <w:tc>
          <w:tcPr>
            <w:tcW w:type="dxa" w:w="1300"/>
          </w:tcPr>
          <w:p>
            <w:r>
              <w:rPr>
                <w:b w:val="false"/>
                <w:bCs w:val="false"/>
                <w:color w:val="000000"/>
                <w:sz w:val="20"/>
                <w:szCs w:val="20"/>
              </w:rPr>
              <w:t xml:space="preserve">FEAT-01</w:t>
            </w:r>
          </w:p>
        </w:tc>
        <w:tc>
          <w:tcPr>
            <w:tcW w:type="dxa" w:w="3400"/>
          </w:tcPr>
          <w:p>
            <w:r>
              <w:rPr>
                <w:b w:val="false"/>
                <w:bCs w:val="false"/>
                <w:color w:val="000000"/>
                <w:sz w:val="20"/>
                <w:szCs w:val="20"/>
              </w:rPr>
              <w:t xml:space="preserve">Plant search and browse</w:t>
            </w:r>
          </w:p>
        </w:tc>
        <w:tc>
          <w:tcPr>
            <w:tcW w:type="dxa" w:w="3300"/>
          </w:tcPr>
          <w:p>
            <w:r>
              <w:rPr>
                <w:b w:val="false"/>
                <w:bCs w:val="false"/>
                <w:color w:val="000000"/>
                <w:sz w:val="20"/>
                <w:szCs w:val="20"/>
              </w:rPr>
              <w:t xml:space="preserve">EPIC-01</w:t>
            </w:r>
          </w:p>
        </w:tc>
      </w:tr>
      <w:tr>
        <w:tc>
          <w:tcPr>
            <w:tcW w:type="dxa" w:w="1300"/>
          </w:tcPr>
          <w:p>
            <w:r>
              <w:rPr>
                <w:b w:val="false"/>
                <w:bCs w:val="false"/>
                <w:color w:val="000000"/>
                <w:sz w:val="20"/>
                <w:szCs w:val="20"/>
              </w:rPr>
              <w:t xml:space="preserve">FEAT-02</w:t>
            </w:r>
          </w:p>
        </w:tc>
        <w:tc>
          <w:tcPr>
            <w:tcW w:type="dxa" w:w="3400"/>
          </w:tcPr>
          <w:p>
            <w:r>
              <w:rPr>
                <w:b w:val="false"/>
                <w:bCs w:val="false"/>
                <w:color w:val="000000"/>
                <w:sz w:val="20"/>
                <w:szCs w:val="20"/>
              </w:rPr>
              <w:t xml:space="preserve">Vetted content display</w:t>
            </w:r>
          </w:p>
        </w:tc>
        <w:tc>
          <w:tcPr>
            <w:tcW w:type="dxa" w:w="3300"/>
          </w:tcPr>
          <w:p>
            <w:r>
              <w:rPr>
                <w:b w:val="false"/>
                <w:bCs w:val="false"/>
                <w:color w:val="000000"/>
                <w:sz w:val="20"/>
                <w:szCs w:val="20"/>
              </w:rPr>
              <w:t xml:space="preserve">EPIC-01</w:t>
            </w:r>
          </w:p>
        </w:tc>
      </w:tr>
      <w:tr>
        <w:tc>
          <w:tcPr>
            <w:tcW w:type="dxa" w:w="1300"/>
          </w:tcPr>
          <w:p>
            <w:r>
              <w:rPr>
                <w:b w:val="false"/>
                <w:bCs w:val="false"/>
                <w:color w:val="000000"/>
                <w:sz w:val="20"/>
                <w:szCs w:val="20"/>
              </w:rPr>
              <w:t xml:space="preserve">FEAT-03</w:t>
            </w:r>
          </w:p>
        </w:tc>
        <w:tc>
          <w:tcPr>
            <w:tcW w:type="dxa" w:w="3400"/>
          </w:tcPr>
          <w:p>
            <w:r>
              <w:rPr>
                <w:b w:val="false"/>
                <w:bCs w:val="false"/>
                <w:color w:val="000000"/>
                <w:sz w:val="20"/>
                <w:szCs w:val="20"/>
              </w:rPr>
              <w:t xml:space="preserve">Planting log</w:t>
            </w:r>
          </w:p>
        </w:tc>
        <w:tc>
          <w:tcPr>
            <w:tcW w:type="dxa" w:w="3300"/>
          </w:tcPr>
          <w:p>
            <w:r>
              <w:rPr>
                <w:b w:val="false"/>
                <w:bCs w:val="false"/>
                <w:color w:val="000000"/>
                <w:sz w:val="20"/>
                <w:szCs w:val="20"/>
              </w:rPr>
              <w:t xml:space="preserve">EPIC-02</w:t>
            </w:r>
          </w:p>
        </w:tc>
      </w:tr>
      <w:tr>
        <w:tc>
          <w:tcPr>
            <w:tcW w:type="dxa" w:w="1300"/>
          </w:tcPr>
          <w:p>
            <w:r>
              <w:rPr>
                <w:b w:val="false"/>
                <w:bCs w:val="false"/>
                <w:color w:val="000000"/>
                <w:sz w:val="20"/>
                <w:szCs w:val="20"/>
              </w:rPr>
              <w:t xml:space="preserve">FEAT-04</w:t>
            </w:r>
          </w:p>
        </w:tc>
        <w:tc>
          <w:tcPr>
            <w:tcW w:type="dxa" w:w="3400"/>
          </w:tcPr>
          <w:p>
            <w:r>
              <w:rPr>
                <w:b w:val="false"/>
                <w:bCs w:val="false"/>
                <w:color w:val="000000"/>
                <w:sz w:val="20"/>
                <w:szCs w:val="20"/>
              </w:rPr>
              <w:t xml:space="preserve">Harvest log</w:t>
            </w:r>
          </w:p>
        </w:tc>
        <w:tc>
          <w:tcPr>
            <w:tcW w:type="dxa" w:w="3300"/>
          </w:tcPr>
          <w:p>
            <w:r>
              <w:rPr>
                <w:b w:val="false"/>
                <w:bCs w:val="false"/>
                <w:color w:val="000000"/>
                <w:sz w:val="20"/>
                <w:szCs w:val="20"/>
              </w:rPr>
              <w:t xml:space="preserve">EPIC-02</w:t>
            </w:r>
          </w:p>
        </w:tc>
      </w:tr>
      <w:tr>
        <w:tc>
          <w:tcPr>
            <w:tcW w:type="dxa" w:w="1300"/>
          </w:tcPr>
          <w:p>
            <w:r>
              <w:rPr>
                <w:b w:val="false"/>
                <w:bCs w:val="false"/>
                <w:color w:val="000000"/>
                <w:sz w:val="20"/>
                <w:szCs w:val="20"/>
              </w:rPr>
              <w:t xml:space="preserve">FEAT-05</w:t>
            </w:r>
          </w:p>
        </w:tc>
        <w:tc>
          <w:tcPr>
            <w:tcW w:type="dxa" w:w="3400"/>
          </w:tcPr>
          <w:p>
            <w:r>
              <w:rPr>
                <w:b w:val="false"/>
                <w:bCs w:val="false"/>
                <w:color w:val="000000"/>
                <w:sz w:val="20"/>
                <w:szCs w:val="20"/>
              </w:rPr>
              <w:t xml:space="preserve">Forum posting</w:t>
            </w:r>
          </w:p>
        </w:tc>
        <w:tc>
          <w:tcPr>
            <w:tcW w:type="dxa" w:w="3300"/>
          </w:tcPr>
          <w:p>
            <w:r>
              <w:rPr>
                <w:b w:val="false"/>
                <w:bCs w:val="false"/>
                <w:color w:val="000000"/>
                <w:sz w:val="20"/>
                <w:szCs w:val="20"/>
              </w:rPr>
              <w:t xml:space="preserve">EPIC-03</w:t>
            </w:r>
          </w:p>
        </w:tc>
      </w:tr>
      <w:tr>
        <w:tc>
          <w:tcPr>
            <w:tcW w:type="dxa" w:w="1300"/>
          </w:tcPr>
          <w:p>
            <w:r>
              <w:rPr>
                <w:b w:val="false"/>
                <w:bCs w:val="false"/>
                <w:color w:val="000000"/>
                <w:sz w:val="20"/>
                <w:szCs w:val="20"/>
              </w:rPr>
              <w:t xml:space="preserve">FEAT-06</w:t>
            </w:r>
          </w:p>
        </w:tc>
        <w:tc>
          <w:tcPr>
            <w:tcW w:type="dxa" w:w="3400"/>
          </w:tcPr>
          <w:p>
            <w:r>
              <w:rPr>
                <w:b w:val="false"/>
                <w:bCs w:val="false"/>
                <w:color w:val="000000"/>
                <w:sz w:val="20"/>
                <w:szCs w:val="20"/>
              </w:rPr>
              <w:t xml:space="preserve">Forum response</w:t>
            </w:r>
          </w:p>
        </w:tc>
        <w:tc>
          <w:tcPr>
            <w:tcW w:type="dxa" w:w="3300"/>
          </w:tcPr>
          <w:p>
            <w:r>
              <w:rPr>
                <w:b w:val="false"/>
                <w:bCs w:val="false"/>
                <w:color w:val="000000"/>
                <w:sz w:val="20"/>
                <w:szCs w:val="20"/>
              </w:rPr>
              <w:t xml:space="preserve">EPIC-03</w:t>
            </w:r>
          </w:p>
        </w:tc>
      </w:tr>
      <w:tr>
        <w:tc>
          <w:tcPr>
            <w:tcW w:type="dxa" w:w="1300"/>
          </w:tcPr>
          <w:p>
            <w:r>
              <w:rPr>
                <w:b w:val="false"/>
                <w:bCs w:val="false"/>
                <w:color w:val="000000"/>
                <w:sz w:val="20"/>
                <w:szCs w:val="20"/>
              </w:rPr>
              <w:t xml:space="preserve">FEAT-07</w:t>
            </w:r>
          </w:p>
        </w:tc>
        <w:tc>
          <w:tcPr>
            <w:tcW w:type="dxa" w:w="3400"/>
          </w:tcPr>
          <w:p>
            <w:r>
              <w:rPr>
                <w:b w:val="false"/>
                <w:bCs w:val="false"/>
                <w:color w:val="000000"/>
                <w:sz w:val="20"/>
                <w:szCs w:val="20"/>
              </w:rPr>
              <w:t xml:space="preserve">Usage event capture</w:t>
            </w:r>
          </w:p>
        </w:tc>
        <w:tc>
          <w:tcPr>
            <w:tcW w:type="dxa" w:w="3300"/>
          </w:tcPr>
          <w:p>
            <w:r>
              <w:rPr>
                <w:b w:val="false"/>
                <w:bCs w:val="false"/>
                <w:color w:val="000000"/>
                <w:sz w:val="20"/>
                <w:szCs w:val="20"/>
              </w:rPr>
              <w:t xml:space="preserve">EPIC-04</w:t>
            </w:r>
          </w:p>
        </w:tc>
      </w:tr>
      <w:tr>
        <w:tc>
          <w:tcPr>
            <w:tcW w:type="dxa" w:w="1300"/>
          </w:tcPr>
          <w:p>
            <w:r>
              <w:rPr>
                <w:b w:val="false"/>
                <w:bCs w:val="false"/>
                <w:color w:val="000000"/>
                <w:sz w:val="20"/>
                <w:szCs w:val="20"/>
              </w:rPr>
              <w:t xml:space="preserve">FEAT-08</w:t>
            </w:r>
          </w:p>
        </w:tc>
        <w:tc>
          <w:tcPr>
            <w:tcW w:type="dxa" w:w="3400"/>
          </w:tcPr>
          <w:p>
            <w:r>
              <w:rPr>
                <w:b w:val="false"/>
                <w:bCs w:val="false"/>
                <w:color w:val="000000"/>
                <w:sz w:val="20"/>
                <w:szCs w:val="20"/>
              </w:rPr>
              <w:t xml:space="preserve">Post-harvest satisfaction prompt</w:t>
            </w:r>
          </w:p>
        </w:tc>
        <w:tc>
          <w:tcPr>
            <w:tcW w:type="dxa" w:w="3300"/>
          </w:tcPr>
          <w:p>
            <w:r>
              <w:rPr>
                <w:b w:val="false"/>
                <w:bCs w:val="false"/>
                <w:color w:val="000000"/>
                <w:sz w:val="20"/>
                <w:szCs w:val="20"/>
              </w:rPr>
              <w:t xml:space="preserve">EPIC-04</w:t>
            </w:r>
          </w:p>
        </w:tc>
      </w:tr>
    </w:tbl>
    <w:p>
      <w:pPr>
        <w:spacing w:after="160"/>
      </w:pPr>
      <w:r>
        <w:t xml:space="preserve">FEAT-08 was added to close a gap surfaced during Power BI planning, Customer Satisfaction had no defined collection mechanism anywhere in the original scope. It is deliberately scoped to the post-harvest moment only, the Plant Library variant is deferred to Phase 2 rather than expanding MVP surface area this late in planning.</w:t>
      </w:r>
    </w:p>
    <w:p>
      <w:pPr>
        <w:pStyle w:val="Heading1"/>
        <w:spacing w:after="200" w:before="400"/>
      </w:pPr>
      <w:r>
        <w:t xml:space="preserve">4.11 Release Strategy</w:t>
      </w:r>
    </w:p>
    <w:p>
      <w:pPr>
        <w:spacing w:after="160"/>
      </w:pPr>
      <w:r>
        <w:t xml:space="preserve">I set EcoGrow to release as a single MVP at the end of Sprint 3, rather than incrementally per sprint, because the three MVP epics (Plant Library, Harvest Tracker, Forum posting) are interdependent for the product to demonstrate GreenSphere's core value proposition. Sprint-level demos still occur at each Sprint Review per Section 6, but they validate progress internally rather than constituting separate public releases.</w:t>
      </w:r>
    </w:p>
    <w:p>
      <w:pPr>
        <w:pStyle w:val="Heading1"/>
        <w:spacing w:after="200" w:before="400"/>
      </w:pPr>
      <w:r>
        <w:t xml:space="preserve">4.12 Delivery Reflection</w:t>
      </w:r>
    </w:p>
    <w:p>
      <w:pPr>
        <w:spacing w:after="160"/>
      </w:pPr>
      <w:r>
        <w:t xml:space="preserve">The real trade-off here was Community Forum response (FR-04). It's a Should-priority requirement with genuine user value, but including it in the MVP would have added dependency complexity, FR-04 requires FR-03 fully stable first, inside a fixed three-sprint window.</w:t>
      </w:r>
    </w:p>
    <w:p>
      <w:pPr>
        <w:spacing w:after="160"/>
      </w:pPr>
      <w:r>
        <w:t xml:space="preserve">I chose to ship posting without response in the MVP and defer response to Phase 2, on the basis that a forum where gardeners can post is still meaningfully better than no forum, whereas trying to fit both into three sprints risked delivering neither well.</w:t>
      </w:r>
    </w:p>
    <w:p>
      <w:pPr>
        <w:spacing w:after="160"/>
      </w:pPr>
      <w:r>
        <w:t xml:space="preserve">This is the kind of scope decision that needs the Product Owner persona's explicit sign-off before Section 5 backlog work begins.</w:t>
      </w:r>
    </w:p>
    <w:p>
      <w:pPr>
        <w:pStyle w:val="Heading1"/>
        <w:spacing w:after="200" w:before="400"/>
      </w:pPr>
      <w:r>
        <w:t xml:space="preserve">4.13 Executive Takeaway</w:t>
      </w:r>
    </w:p>
    <w:p>
      <w:pPr>
        <w:spacing w:after="160"/>
      </w:pPr>
      <w:r>
        <w:t xml:space="preserve">The MVP addresses all three of GreenSphere's stated problems within the brief's three-sprint constraint, by deliberately sequencing forum response into Phase 2 rather than compressing full community functionality into the MVP. Every epic and feature in this section traces back to a business objective, and forward into the Section 5 backlog.</w:t>
      </w:r>
    </w:p>
    <w:p>
      <w:pPr>
        <w:pStyle w:val="Heading1"/>
        <w:spacing w:after="200" w:before="400"/>
      </w:pPr>
      <w:r>
        <w:t xml:space="preserve">4.14 Executive Close</w:t>
      </w:r>
    </w:p>
    <w:p>
      <w:pPr>
        <w:spacing w:after="160"/>
      </w:pPr>
      <w:r>
        <w:t xml:space="preserve">This section converts Section 2's problem-to-outcome mapping into a concrete, sequenced delivery plan. Section 5 now takes the Epic and Feature Catalogue above and breaks it into the story-level backlog that Sprint 1 planning in Section 6 will draw from.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2026-08-21T13:08:01.766Z</dcterms:created>
  <dcterms:modified xsi:type="dcterms:W3CDTF">2026-08-21T13:08:01.786Z</dcterms:modified>
</cp:coreProperties>
</file>

<file path=docProps/custom.xml><?xml version="1.0" encoding="utf-8"?>
<Properties xmlns="http://schemas.openxmlformats.org/officeDocument/2006/custom-properties" xmlns:vt="http://schemas.openxmlformats.org/officeDocument/2006/docPropsVTypes"/>
</file>