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EcoGrow</w:t>
      </w:r>
    </w:p>
    <w:p>
      <w:pPr>
        <w:spacing w:after="100"/>
      </w:pPr>
      <w:r>
        <w:rPr>
          <w:b/>
          <w:bCs/>
          <w:color w:val="0E7C7B"/>
          <w:sz w:val="32"/>
          <w:szCs w:val="32"/>
        </w:rPr>
        <w:t xml:space="preserve">Section 5: Backlog Engineering</w:t>
      </w:r>
    </w:p>
    <w:p>
      <w:pPr>
        <w:spacing w:after="400"/>
      </w:pPr>
      <w:r>
        <w:rPr>
          <w:color w:val="5A6B6B"/>
          <w:sz w:val="22"/>
          <w:szCs w:val="22"/>
        </w:rPr>
        <w:t xml:space="preserve">Prepared by Doris Frank, Business Analyst</w:t>
      </w:r>
    </w:p>
    <w:p>
      <w:pPr>
        <w:pStyle w:val="Heading1"/>
        <w:spacing w:after="200" w:before="400"/>
      </w:pPr>
      <w:r>
        <w:t xml:space="preserve">5.1-5.4 Epic, Feature, Story, Task Structure</w:t>
      </w:r>
    </w:p>
    <w:p>
      <w:pPr>
        <w:spacing w:after="160"/>
      </w:pPr>
      <w:r>
        <w:t xml:space="preserve">The backlog follows a four-level hierarchy: Epic (Section 4.9) breaks into Feature (Section 4.10), Feature breaks into User Story, and where a story is large enough to need it, Story breaks into Task.</w:t>
      </w:r>
    </w:p>
    <w:p>
      <w:pPr>
        <w:spacing w:after="160"/>
      </w:pPr>
      <w:r>
        <w:t xml:space="preserve">Below is the story-level breakdown for the three MVP epics. This is the structure to be built directly into Jira, story points are placeholders to be estimated by the real delivery team during Sprint Planning, not assigned here.</w:t>
      </w:r>
    </w:p>
    <w:p>
      <w:pPr>
        <w:pStyle w:val="Heading1"/>
        <w:spacing w:after="200" w:before="400"/>
      </w:pPr>
      <w:r>
        <w:t xml:space="preserve">Epic: Plant Library (EPIC-01)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2200"/>
        <w:gridCol w:w="900"/>
      </w:tblGrid>
      <w:tr>
        <w:tc>
          <w:tcPr>
            <w:tcW w:type="dxa" w:w="1100"/>
            <w:shd w:fill="0E7C7B" w:val="clear"/>
          </w:tcPr>
          <w:p>
            <w:r>
              <w:rPr>
                <w:b/>
                <w:bCs/>
                <w:color w:val="FFFFFF"/>
                <w:sz w:val="20"/>
                <w:szCs w:val="20"/>
              </w:rPr>
              <w:t xml:space="preserve">Story ID</w:t>
            </w:r>
          </w:p>
        </w:tc>
        <w:tc>
          <w:tcPr>
            <w:tcW w:type="dxa" w:w="4900"/>
            <w:shd w:fill="0E7C7B" w:val="clear"/>
          </w:tcPr>
          <w:p>
            <w:r>
              <w:rPr>
                <w:b/>
                <w:bCs/>
                <w:color w:val="FFFFFF"/>
                <w:sz w:val="20"/>
                <w:szCs w:val="20"/>
              </w:rPr>
              <w:t xml:space="preserve">User Story</w:t>
            </w:r>
          </w:p>
        </w:tc>
        <w:tc>
          <w:tcPr>
            <w:tcW w:type="dxa" w:w="2200"/>
            <w:shd w:fill="0E7C7B" w:val="clear"/>
          </w:tcPr>
          <w:p>
            <w:r>
              <w:rPr>
                <w:b/>
                <w:bCs/>
                <w:color w:val="FFFFFF"/>
                <w:sz w:val="20"/>
                <w:szCs w:val="20"/>
              </w:rPr>
              <w:t xml:space="preserve">Acceptance Criteria Ref</w:t>
            </w:r>
          </w:p>
        </w:tc>
        <w:tc>
          <w:tcPr>
            <w:tcW w:type="dxa" w:w="900"/>
            <w:shd w:fill="0E7C7B" w:val="clear"/>
          </w:tcPr>
          <w:p>
            <w:r>
              <w:rPr>
                <w:b/>
                <w:bCs/>
                <w:color w:val="FFFFFF"/>
                <w:sz w:val="20"/>
                <w:szCs w:val="20"/>
              </w:rPr>
              <w:t xml:space="preserve">Story Points</w:t>
            </w:r>
          </w:p>
        </w:tc>
      </w:tr>
      <w:tr>
        <w:tc>
          <w:tcPr>
            <w:tcW w:type="dxa" w:w="1100"/>
          </w:tcPr>
          <w:p>
            <w:r>
              <w:rPr>
                <w:b w:val="false"/>
                <w:bCs w:val="false"/>
                <w:color w:val="000000"/>
                <w:sz w:val="20"/>
                <w:szCs w:val="20"/>
              </w:rPr>
              <w:t xml:space="preserve">US-01</w:t>
            </w:r>
          </w:p>
        </w:tc>
        <w:tc>
          <w:tcPr>
            <w:tcW w:type="dxa" w:w="4900"/>
          </w:tcPr>
          <w:p>
            <w:r>
              <w:rPr>
                <w:b w:val="false"/>
                <w:bCs w:val="false"/>
                <w:color w:val="000000"/>
                <w:sz w:val="20"/>
                <w:szCs w:val="20"/>
              </w:rPr>
              <w:t xml:space="preserve">As a gardener, I want to search the Plant Library by name or type, so that I can quickly find care information</w:t>
            </w:r>
          </w:p>
        </w:tc>
        <w:tc>
          <w:tcPr>
            <w:tcW w:type="dxa" w:w="2200"/>
          </w:tcPr>
          <w:p>
            <w:r>
              <w:rPr>
                <w:b w:val="false"/>
                <w:bCs w:val="false"/>
                <w:color w:val="000000"/>
                <w:sz w:val="20"/>
                <w:szCs w:val="20"/>
              </w:rPr>
              <w:t xml:space="preserve">FR-01</w:t>
            </w:r>
          </w:p>
        </w:tc>
        <w:tc>
          <w:tcPr>
            <w:tcW w:type="dxa" w:w="900"/>
          </w:tcPr>
          <w:p>
            <w:r>
              <w:rPr>
                <w:b w:val="false"/>
                <w:bCs w:val="false"/>
                <w:color w:val="000000"/>
                <w:sz w:val="20"/>
                <w:szCs w:val="20"/>
              </w:rPr>
              <w:t xml:space="preserve">TBD, real estimation</w:t>
            </w:r>
          </w:p>
        </w:tc>
      </w:tr>
      <w:tr>
        <w:tc>
          <w:tcPr>
            <w:tcW w:type="dxa" w:w="1100"/>
          </w:tcPr>
          <w:p>
            <w:r>
              <w:rPr>
                <w:b w:val="false"/>
                <w:bCs w:val="false"/>
                <w:color w:val="000000"/>
                <w:sz w:val="20"/>
                <w:szCs w:val="20"/>
              </w:rPr>
              <w:t xml:space="preserve">US-02</w:t>
            </w:r>
          </w:p>
        </w:tc>
        <w:tc>
          <w:tcPr>
            <w:tcW w:type="dxa" w:w="4900"/>
          </w:tcPr>
          <w:p>
            <w:r>
              <w:rPr>
                <w:b w:val="false"/>
                <w:bCs w:val="false"/>
                <w:color w:val="000000"/>
                <w:sz w:val="20"/>
                <w:szCs w:val="20"/>
              </w:rPr>
              <w:t xml:space="preserve">As a gardener, I want to see a content-verified badge on library entries, so that I trust the information I'm reading</w:t>
            </w:r>
          </w:p>
        </w:tc>
        <w:tc>
          <w:tcPr>
            <w:tcW w:type="dxa" w:w="2200"/>
          </w:tcPr>
          <w:p>
            <w:r>
              <w:rPr>
                <w:b w:val="false"/>
                <w:bCs w:val="false"/>
                <w:color w:val="000000"/>
                <w:sz w:val="20"/>
                <w:szCs w:val="20"/>
              </w:rPr>
              <w:t xml:space="preserve">FR-02</w:t>
            </w:r>
          </w:p>
        </w:tc>
        <w:tc>
          <w:tcPr>
            <w:tcW w:type="dxa" w:w="900"/>
          </w:tcPr>
          <w:p>
            <w:r>
              <w:rPr>
                <w:b w:val="false"/>
                <w:bCs w:val="false"/>
                <w:color w:val="000000"/>
                <w:sz w:val="20"/>
                <w:szCs w:val="20"/>
              </w:rPr>
              <w:t xml:space="preserve">TBD, real estimation</w:t>
            </w:r>
          </w:p>
        </w:tc>
      </w:tr>
    </w:tbl>
    <w:p>
      <w:pPr>
        <w:pStyle w:val="Heading1"/>
        <w:spacing w:after="200" w:before="400"/>
      </w:pPr>
      <w:r>
        <w:t xml:space="preserve">Epic: Harvest Tracker (EPIC-02)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2200"/>
        <w:gridCol w:w="900"/>
      </w:tblGrid>
      <w:tr>
        <w:tc>
          <w:tcPr>
            <w:tcW w:type="dxa" w:w="1100"/>
            <w:shd w:fill="0E7C7B" w:val="clear"/>
          </w:tcPr>
          <w:p>
            <w:r>
              <w:rPr>
                <w:b/>
                <w:bCs/>
                <w:color w:val="FFFFFF"/>
                <w:sz w:val="20"/>
                <w:szCs w:val="20"/>
              </w:rPr>
              <w:t xml:space="preserve">Story ID</w:t>
            </w:r>
          </w:p>
        </w:tc>
        <w:tc>
          <w:tcPr>
            <w:tcW w:type="dxa" w:w="4900"/>
            <w:shd w:fill="0E7C7B" w:val="clear"/>
          </w:tcPr>
          <w:p>
            <w:r>
              <w:rPr>
                <w:b/>
                <w:bCs/>
                <w:color w:val="FFFFFF"/>
                <w:sz w:val="20"/>
                <w:szCs w:val="20"/>
              </w:rPr>
              <w:t xml:space="preserve">User Story</w:t>
            </w:r>
          </w:p>
        </w:tc>
        <w:tc>
          <w:tcPr>
            <w:tcW w:type="dxa" w:w="2200"/>
            <w:shd w:fill="0E7C7B" w:val="clear"/>
          </w:tcPr>
          <w:p>
            <w:r>
              <w:rPr>
                <w:b/>
                <w:bCs/>
                <w:color w:val="FFFFFF"/>
                <w:sz w:val="20"/>
                <w:szCs w:val="20"/>
              </w:rPr>
              <w:t xml:space="preserve">Acceptance Criteria Ref</w:t>
            </w:r>
          </w:p>
        </w:tc>
        <w:tc>
          <w:tcPr>
            <w:tcW w:type="dxa" w:w="900"/>
            <w:shd w:fill="0E7C7B" w:val="clear"/>
          </w:tcPr>
          <w:p>
            <w:r>
              <w:rPr>
                <w:b/>
                <w:bCs/>
                <w:color w:val="FFFFFF"/>
                <w:sz w:val="20"/>
                <w:szCs w:val="20"/>
              </w:rPr>
              <w:t xml:space="preserve">Story Points</w:t>
            </w:r>
          </w:p>
        </w:tc>
      </w:tr>
      <w:tr>
        <w:tc>
          <w:tcPr>
            <w:tcW w:type="dxa" w:w="1100"/>
          </w:tcPr>
          <w:p>
            <w:r>
              <w:rPr>
                <w:b w:val="false"/>
                <w:bCs w:val="false"/>
                <w:color w:val="000000"/>
                <w:sz w:val="20"/>
                <w:szCs w:val="20"/>
              </w:rPr>
              <w:t xml:space="preserve">US-03</w:t>
            </w:r>
          </w:p>
        </w:tc>
        <w:tc>
          <w:tcPr>
            <w:tcW w:type="dxa" w:w="4900"/>
          </w:tcPr>
          <w:p>
            <w:r>
              <w:rPr>
                <w:b w:val="false"/>
                <w:bCs w:val="false"/>
                <w:color w:val="000000"/>
                <w:sz w:val="20"/>
                <w:szCs w:val="20"/>
              </w:rPr>
              <w:t xml:space="preserve">As a gardener, I want to log a planting with plant type and date, so that I can start tracking its progress</w:t>
            </w:r>
          </w:p>
        </w:tc>
        <w:tc>
          <w:tcPr>
            <w:tcW w:type="dxa" w:w="2200"/>
          </w:tcPr>
          <w:p>
            <w:r>
              <w:rPr>
                <w:b w:val="false"/>
                <w:bCs w:val="false"/>
                <w:color w:val="000000"/>
                <w:sz w:val="20"/>
                <w:szCs w:val="20"/>
              </w:rPr>
              <w:t xml:space="preserve">FR-05</w:t>
            </w:r>
          </w:p>
        </w:tc>
        <w:tc>
          <w:tcPr>
            <w:tcW w:type="dxa" w:w="900"/>
          </w:tcPr>
          <w:p>
            <w:r>
              <w:rPr>
                <w:b w:val="false"/>
                <w:bCs w:val="false"/>
                <w:color w:val="000000"/>
                <w:sz w:val="20"/>
                <w:szCs w:val="20"/>
              </w:rPr>
              <w:t xml:space="preserve">TBD, real estimation</w:t>
            </w:r>
          </w:p>
        </w:tc>
      </w:tr>
      <w:tr>
        <w:tc>
          <w:tcPr>
            <w:tcW w:type="dxa" w:w="1100"/>
          </w:tcPr>
          <w:p>
            <w:r>
              <w:rPr>
                <w:b w:val="false"/>
                <w:bCs w:val="false"/>
                <w:color w:val="000000"/>
                <w:sz w:val="20"/>
                <w:szCs w:val="20"/>
              </w:rPr>
              <w:t xml:space="preserve">US-04</w:t>
            </w:r>
          </w:p>
        </w:tc>
        <w:tc>
          <w:tcPr>
            <w:tcW w:type="dxa" w:w="4900"/>
          </w:tcPr>
          <w:p>
            <w:r>
              <w:rPr>
                <w:b w:val="false"/>
                <w:bCs w:val="false"/>
                <w:color w:val="000000"/>
                <w:sz w:val="20"/>
                <w:szCs w:val="20"/>
              </w:rPr>
              <w:t xml:space="preserve">As a gardener, I want to record a harvest against a planting I logged, so that I can close the loop on that plant's progress</w:t>
            </w:r>
          </w:p>
        </w:tc>
        <w:tc>
          <w:tcPr>
            <w:tcW w:type="dxa" w:w="2200"/>
          </w:tcPr>
          <w:p>
            <w:r>
              <w:rPr>
                <w:b w:val="false"/>
                <w:bCs w:val="false"/>
                <w:color w:val="000000"/>
                <w:sz w:val="20"/>
                <w:szCs w:val="20"/>
              </w:rPr>
              <w:t xml:space="preserve">FR-06</w:t>
            </w:r>
          </w:p>
        </w:tc>
        <w:tc>
          <w:tcPr>
            <w:tcW w:type="dxa" w:w="900"/>
          </w:tcPr>
          <w:p>
            <w:r>
              <w:rPr>
                <w:b w:val="false"/>
                <w:bCs w:val="false"/>
                <w:color w:val="000000"/>
                <w:sz w:val="20"/>
                <w:szCs w:val="20"/>
              </w:rPr>
              <w:t xml:space="preserve">TBD, real estimation</w:t>
            </w:r>
          </w:p>
        </w:tc>
      </w:tr>
    </w:tbl>
    <w:p>
      <w:pPr>
        <w:pStyle w:val="Heading1"/>
        <w:spacing w:after="200" w:before="400"/>
      </w:pPr>
      <w:r>
        <w:t xml:space="preserve">Epic: Community Forum, MVP scope (EPIC-03)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2200"/>
        <w:gridCol w:w="900"/>
      </w:tblGrid>
      <w:tr>
        <w:tc>
          <w:tcPr>
            <w:tcW w:type="dxa" w:w="1100"/>
            <w:shd w:fill="0E7C7B" w:val="clear"/>
          </w:tcPr>
          <w:p>
            <w:r>
              <w:rPr>
                <w:b/>
                <w:bCs/>
                <w:color w:val="FFFFFF"/>
                <w:sz w:val="20"/>
                <w:szCs w:val="20"/>
              </w:rPr>
              <w:t xml:space="preserve">Story ID</w:t>
            </w:r>
          </w:p>
        </w:tc>
        <w:tc>
          <w:tcPr>
            <w:tcW w:type="dxa" w:w="4900"/>
            <w:shd w:fill="0E7C7B" w:val="clear"/>
          </w:tcPr>
          <w:p>
            <w:r>
              <w:rPr>
                <w:b/>
                <w:bCs/>
                <w:color w:val="FFFFFF"/>
                <w:sz w:val="20"/>
                <w:szCs w:val="20"/>
              </w:rPr>
              <w:t xml:space="preserve">User Story</w:t>
            </w:r>
          </w:p>
        </w:tc>
        <w:tc>
          <w:tcPr>
            <w:tcW w:type="dxa" w:w="2200"/>
            <w:shd w:fill="0E7C7B" w:val="clear"/>
          </w:tcPr>
          <w:p>
            <w:r>
              <w:rPr>
                <w:b/>
                <w:bCs/>
                <w:color w:val="FFFFFF"/>
                <w:sz w:val="20"/>
                <w:szCs w:val="20"/>
              </w:rPr>
              <w:t xml:space="preserve">Acceptance Criteria Ref</w:t>
            </w:r>
          </w:p>
        </w:tc>
        <w:tc>
          <w:tcPr>
            <w:tcW w:type="dxa" w:w="900"/>
            <w:shd w:fill="0E7C7B" w:val="clear"/>
          </w:tcPr>
          <w:p>
            <w:r>
              <w:rPr>
                <w:b/>
                <w:bCs/>
                <w:color w:val="FFFFFF"/>
                <w:sz w:val="20"/>
                <w:szCs w:val="20"/>
              </w:rPr>
              <w:t xml:space="preserve">Story Points</w:t>
            </w:r>
          </w:p>
        </w:tc>
      </w:tr>
      <w:tr>
        <w:tc>
          <w:tcPr>
            <w:tcW w:type="dxa" w:w="1100"/>
          </w:tcPr>
          <w:p>
            <w:r>
              <w:rPr>
                <w:b w:val="false"/>
                <w:bCs w:val="false"/>
                <w:color w:val="000000"/>
                <w:sz w:val="20"/>
                <w:szCs w:val="20"/>
              </w:rPr>
              <w:t xml:space="preserve">US-05</w:t>
            </w:r>
          </w:p>
        </w:tc>
        <w:tc>
          <w:tcPr>
            <w:tcW w:type="dxa" w:w="4900"/>
          </w:tcPr>
          <w:p>
            <w:r>
              <w:rPr>
                <w:b w:val="false"/>
                <w:bCs w:val="false"/>
                <w:color w:val="000000"/>
                <w:sz w:val="20"/>
                <w:szCs w:val="20"/>
              </w:rPr>
              <w:t xml:space="preserve">As a gardener, I want to post a question or piece of knowledge to the forum, tagged by plant type, season, or region, so that other gardeners can find and use it</w:t>
            </w:r>
          </w:p>
        </w:tc>
        <w:tc>
          <w:tcPr>
            <w:tcW w:type="dxa" w:w="2200"/>
          </w:tcPr>
          <w:p>
            <w:r>
              <w:rPr>
                <w:b w:val="false"/>
                <w:bCs w:val="false"/>
                <w:color w:val="000000"/>
                <w:sz w:val="20"/>
                <w:szCs w:val="20"/>
              </w:rPr>
              <w:t xml:space="preserve">FR-03</w:t>
            </w:r>
          </w:p>
        </w:tc>
        <w:tc>
          <w:tcPr>
            <w:tcW w:type="dxa" w:w="900"/>
          </w:tcPr>
          <w:p>
            <w:r>
              <w:rPr>
                <w:b w:val="false"/>
                <w:bCs w:val="false"/>
                <w:color w:val="000000"/>
                <w:sz w:val="20"/>
                <w:szCs w:val="20"/>
              </w:rPr>
              <w:t xml:space="preserve">TBD, real estimation</w:t>
            </w:r>
          </w:p>
        </w:tc>
      </w:tr>
    </w:tbl>
    <w:p>
      <w:pPr>
        <w:pStyle w:val="Heading1"/>
        <w:spacing w:after="200" w:before="400"/>
      </w:pPr>
      <w:r>
        <w:t xml:space="preserve">Epic: Usage Analytics Capture (EPIC-04)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2200"/>
        <w:gridCol w:w="900"/>
      </w:tblGrid>
      <w:tr>
        <w:tc>
          <w:tcPr>
            <w:tcW w:type="dxa" w:w="1100"/>
            <w:shd w:fill="0E7C7B" w:val="clear"/>
          </w:tcPr>
          <w:p>
            <w:r>
              <w:rPr>
                <w:b/>
                <w:bCs/>
                <w:color w:val="FFFFFF"/>
                <w:sz w:val="20"/>
                <w:szCs w:val="20"/>
              </w:rPr>
              <w:t xml:space="preserve">Story ID</w:t>
            </w:r>
          </w:p>
        </w:tc>
        <w:tc>
          <w:tcPr>
            <w:tcW w:type="dxa" w:w="4900"/>
            <w:shd w:fill="0E7C7B" w:val="clear"/>
          </w:tcPr>
          <w:p>
            <w:r>
              <w:rPr>
                <w:b/>
                <w:bCs/>
                <w:color w:val="FFFFFF"/>
                <w:sz w:val="20"/>
                <w:szCs w:val="20"/>
              </w:rPr>
              <w:t xml:space="preserve">User Story</w:t>
            </w:r>
          </w:p>
        </w:tc>
        <w:tc>
          <w:tcPr>
            <w:tcW w:type="dxa" w:w="2200"/>
            <w:shd w:fill="0E7C7B" w:val="clear"/>
          </w:tcPr>
          <w:p>
            <w:r>
              <w:rPr>
                <w:b/>
                <w:bCs/>
                <w:color w:val="FFFFFF"/>
                <w:sz w:val="20"/>
                <w:szCs w:val="20"/>
              </w:rPr>
              <w:t xml:space="preserve">Acceptance Criteria Ref</w:t>
            </w:r>
          </w:p>
        </w:tc>
        <w:tc>
          <w:tcPr>
            <w:tcW w:type="dxa" w:w="900"/>
            <w:shd w:fill="0E7C7B" w:val="clear"/>
          </w:tcPr>
          <w:p>
            <w:r>
              <w:rPr>
                <w:b/>
                <w:bCs/>
                <w:color w:val="FFFFFF"/>
                <w:sz w:val="20"/>
                <w:szCs w:val="20"/>
              </w:rPr>
              <w:t xml:space="preserve">Story Points</w:t>
            </w:r>
          </w:p>
        </w:tc>
      </w:tr>
      <w:tr>
        <w:tc>
          <w:tcPr>
            <w:tcW w:type="dxa" w:w="1100"/>
          </w:tcPr>
          <w:p>
            <w:r>
              <w:rPr>
                <w:b w:val="false"/>
                <w:bCs w:val="false"/>
                <w:color w:val="000000"/>
                <w:sz w:val="20"/>
                <w:szCs w:val="20"/>
              </w:rPr>
              <w:t xml:space="preserve">US-06</w:t>
            </w:r>
          </w:p>
        </w:tc>
        <w:tc>
          <w:tcPr>
            <w:tcW w:type="dxa" w:w="4900"/>
          </w:tcPr>
          <w:p>
            <w:r>
              <w:rPr>
                <w:b w:val="false"/>
                <w:bCs w:val="false"/>
                <w:color w:val="000000"/>
                <w:sz w:val="20"/>
                <w:szCs w:val="20"/>
              </w:rPr>
              <w:t xml:space="preserve">As the product team, we want every user action across the three capabilities to generate a usage event, so that BO-04 has reliable data from launch</w:t>
            </w:r>
          </w:p>
        </w:tc>
        <w:tc>
          <w:tcPr>
            <w:tcW w:type="dxa" w:w="2200"/>
          </w:tcPr>
          <w:p>
            <w:r>
              <w:rPr>
                <w:b w:val="false"/>
                <w:bCs w:val="false"/>
                <w:color w:val="000000"/>
                <w:sz w:val="20"/>
                <w:szCs w:val="20"/>
              </w:rPr>
              <w:t xml:space="preserve">FR-08</w:t>
            </w:r>
          </w:p>
        </w:tc>
        <w:tc>
          <w:tcPr>
            <w:tcW w:type="dxa" w:w="900"/>
          </w:tcPr>
          <w:p>
            <w:r>
              <w:rPr>
                <w:b w:val="false"/>
                <w:bCs w:val="false"/>
                <w:color w:val="000000"/>
                <w:sz w:val="20"/>
                <w:szCs w:val="20"/>
              </w:rPr>
              <w:t xml:space="preserve">TBD, real estimation</w:t>
            </w:r>
          </w:p>
        </w:tc>
      </w:tr>
      <w:tr>
        <w:tc>
          <w:tcPr>
            <w:tcW w:type="dxa" w:w="1100"/>
          </w:tcPr>
          <w:p>
            <w:r>
              <w:rPr>
                <w:b w:val="false"/>
                <w:bCs w:val="false"/>
                <w:color w:val="000000"/>
                <w:sz w:val="20"/>
                <w:szCs w:val="20"/>
              </w:rPr>
              <w:t xml:space="preserve">US-07</w:t>
            </w:r>
          </w:p>
        </w:tc>
        <w:tc>
          <w:tcPr>
            <w:tcW w:type="dxa" w:w="4900"/>
          </w:tcPr>
          <w:p>
            <w:r>
              <w:rPr>
                <w:b w:val="false"/>
                <w:bCs w:val="false"/>
                <w:color w:val="000000"/>
                <w:sz w:val="20"/>
                <w:szCs w:val="20"/>
              </w:rPr>
              <w:t xml:space="preserve">As the product team, we want a single-tap satisfaction prompt after a harvest is logged, so that BO-04's data baseline includes satisfaction signal alongside usage events</w:t>
            </w:r>
          </w:p>
        </w:tc>
        <w:tc>
          <w:tcPr>
            <w:tcW w:type="dxa" w:w="2200"/>
          </w:tcPr>
          <w:p>
            <w:r>
              <w:rPr>
                <w:b w:val="false"/>
                <w:bCs w:val="false"/>
                <w:color w:val="000000"/>
                <w:sz w:val="20"/>
                <w:szCs w:val="20"/>
              </w:rPr>
              <w:t xml:space="preserve">FR-09</w:t>
            </w:r>
          </w:p>
        </w:tc>
        <w:tc>
          <w:tcPr>
            <w:tcW w:type="dxa" w:w="900"/>
          </w:tcPr>
          <w:p>
            <w:r>
              <w:rPr>
                <w:b w:val="false"/>
                <w:bCs w:val="false"/>
                <w:color w:val="000000"/>
                <w:sz w:val="20"/>
                <w:szCs w:val="20"/>
              </w:rPr>
              <w:t xml:space="preserve">TBD, real estimation</w:t>
            </w:r>
          </w:p>
        </w:tc>
      </w:tr>
    </w:tbl>
    <w:p>
      <w:pPr>
        <w:pStyle w:val="Heading1"/>
        <w:spacing w:after="200" w:before="400"/>
      </w:pPr>
      <w:r>
        <w:t xml:space="preserve">5.5 Definition of Ready</w:t>
      </w:r>
    </w:p>
    <w:p>
      <w:pPr>
        <w:spacing w:after="160"/>
      </w:pPr>
      <w:r>
        <w:t xml:space="preserve">Carried forward from Section 3.8, applied at story level: story has a unique ID, traces to a requirement, has draft acceptance criteria, dependencies identified, and Product Owner persona sign-off.</w:t>
      </w:r>
    </w:p>
    <w:p>
      <w:pPr>
        <w:pStyle w:val="Heading1"/>
        <w:spacing w:after="200" w:before="400"/>
      </w:pPr>
      <w:r>
        <w:t xml:space="preserve">5.6 Definition of Done</w:t>
      </w:r>
    </w:p>
    <w:p>
      <w:pPr>
        <w:spacing w:after="160"/>
      </w:pPr>
      <w:r>
        <w:t xml:space="preserve">Carried forward from Section 3.9, applied at story level: acceptance criteria pass in test, story demonstrated at Sprint Review, related usage event confirmed flowing to reporting layer where applicable, RTM status updated.</w:t>
      </w:r>
    </w:p>
    <w:p>
      <w:pPr>
        <w:pStyle w:val="Heading1"/>
        <w:spacing w:after="200" w:before="400"/>
      </w:pPr>
      <w:r>
        <w:t xml:space="preserve">5.7 Dependency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c>
          <w:tcPr>
            <w:tcW w:type="dxa" w:w="1400"/>
            <w:shd w:fill="0E7C7B" w:val="clear"/>
          </w:tcPr>
          <w:p>
            <w:r>
              <w:rPr>
                <w:b/>
                <w:bCs/>
                <w:color w:val="FFFFFF"/>
                <w:sz w:val="20"/>
                <w:szCs w:val="20"/>
              </w:rPr>
              <w:t xml:space="preserve">Story</w:t>
            </w:r>
          </w:p>
        </w:tc>
        <w:tc>
          <w:tcPr>
            <w:tcW w:type="dxa" w:w="2600"/>
            <w:shd w:fill="0E7C7B" w:val="clear"/>
          </w:tcPr>
          <w:p>
            <w:r>
              <w:rPr>
                <w:b/>
                <w:bCs/>
                <w:color w:val="FFFFFF"/>
                <w:sz w:val="20"/>
                <w:szCs w:val="20"/>
              </w:rPr>
              <w:t xml:space="preserve">Depends on</w:t>
            </w:r>
          </w:p>
        </w:tc>
        <w:tc>
          <w:tcPr>
            <w:tcW w:type="dxa" w:w="5000"/>
            <w:shd w:fill="0E7C7B" w:val="clear"/>
          </w:tcPr>
          <w:p>
            <w:r>
              <w:rPr>
                <w:b/>
                <w:bCs/>
                <w:color w:val="FFFFFF"/>
                <w:sz w:val="20"/>
                <w:szCs w:val="20"/>
              </w:rPr>
              <w:t xml:space="preserve">Reason</w:t>
            </w:r>
          </w:p>
        </w:tc>
      </w:tr>
      <w:tr>
        <w:tc>
          <w:tcPr>
            <w:tcW w:type="dxa" w:w="1400"/>
          </w:tcPr>
          <w:p>
            <w:r>
              <w:rPr>
                <w:b w:val="false"/>
                <w:bCs w:val="false"/>
                <w:color w:val="000000"/>
                <w:sz w:val="20"/>
                <w:szCs w:val="20"/>
              </w:rPr>
              <w:t xml:space="preserve">US-04</w:t>
            </w:r>
          </w:p>
        </w:tc>
        <w:tc>
          <w:tcPr>
            <w:tcW w:type="dxa" w:w="2600"/>
          </w:tcPr>
          <w:p>
            <w:r>
              <w:rPr>
                <w:b w:val="false"/>
                <w:bCs w:val="false"/>
                <w:color w:val="000000"/>
                <w:sz w:val="20"/>
                <w:szCs w:val="20"/>
              </w:rPr>
              <w:t xml:space="preserve">US-03</w:t>
            </w:r>
          </w:p>
        </w:tc>
        <w:tc>
          <w:tcPr>
            <w:tcW w:type="dxa" w:w="5000"/>
          </w:tcPr>
          <w:p>
            <w:r>
              <w:rPr>
                <w:b w:val="false"/>
                <w:bCs w:val="false"/>
                <w:color w:val="000000"/>
                <w:sz w:val="20"/>
                <w:szCs w:val="20"/>
              </w:rPr>
              <w:t xml:space="preserve">A harvest cannot be logged against a planting that doesn't exist yet</w:t>
            </w:r>
          </w:p>
        </w:tc>
      </w:tr>
      <w:tr>
        <w:tc>
          <w:tcPr>
            <w:tcW w:type="dxa" w:w="1400"/>
          </w:tcPr>
          <w:p>
            <w:r>
              <w:rPr>
                <w:b w:val="false"/>
                <w:bCs w:val="false"/>
                <w:color w:val="000000"/>
                <w:sz w:val="20"/>
                <w:szCs w:val="20"/>
              </w:rPr>
              <w:t xml:space="preserve">US-06</w:t>
            </w:r>
          </w:p>
        </w:tc>
        <w:tc>
          <w:tcPr>
            <w:tcW w:type="dxa" w:w="2600"/>
          </w:tcPr>
          <w:p>
            <w:r>
              <w:rPr>
                <w:b w:val="false"/>
                <w:bCs w:val="false"/>
                <w:color w:val="000000"/>
                <w:sz w:val="20"/>
                <w:szCs w:val="20"/>
              </w:rPr>
              <w:t xml:space="preserve">US-01, US-03, US-05</w:t>
            </w:r>
          </w:p>
        </w:tc>
        <w:tc>
          <w:tcPr>
            <w:tcW w:type="dxa" w:w="5000"/>
          </w:tcPr>
          <w:p>
            <w:r>
              <w:rPr>
                <w:b w:val="false"/>
                <w:bCs w:val="false"/>
                <w:color w:val="000000"/>
                <w:sz w:val="20"/>
                <w:szCs w:val="20"/>
              </w:rPr>
              <w:t xml:space="preserve">Usage capture instruments actions in the other three stories, it cannot be built in isolation first</w:t>
            </w:r>
          </w:p>
        </w:tc>
      </w:tr>
      <w:tr>
        <w:tc>
          <w:tcPr>
            <w:tcW w:type="dxa" w:w="1400"/>
          </w:tcPr>
          <w:p>
            <w:r>
              <w:rPr>
                <w:b w:val="false"/>
                <w:bCs w:val="false"/>
                <w:color w:val="000000"/>
                <w:sz w:val="20"/>
                <w:szCs w:val="20"/>
              </w:rPr>
              <w:t xml:space="preserve">US-07</w:t>
            </w:r>
          </w:p>
        </w:tc>
        <w:tc>
          <w:tcPr>
            <w:tcW w:type="dxa" w:w="2600"/>
          </w:tcPr>
          <w:p>
            <w:r>
              <w:rPr>
                <w:b w:val="false"/>
                <w:bCs w:val="false"/>
                <w:color w:val="000000"/>
                <w:sz w:val="20"/>
                <w:szCs w:val="20"/>
              </w:rPr>
              <w:t xml:space="preserve">US-03, US-04</w:t>
            </w:r>
          </w:p>
        </w:tc>
        <w:tc>
          <w:tcPr>
            <w:tcW w:type="dxa" w:w="5000"/>
          </w:tcPr>
          <w:p>
            <w:r>
              <w:rPr>
                <w:b w:val="false"/>
                <w:bCs w:val="false"/>
                <w:color w:val="000000"/>
                <w:sz w:val="20"/>
                <w:szCs w:val="20"/>
              </w:rPr>
              <w:t xml:space="preserve">A harvest must exist and be logged before the satisfaction prompt has a moment to trigger from</w:t>
            </w:r>
          </w:p>
        </w:tc>
      </w:tr>
    </w:tbl>
    <w:p>
      <w:pPr>
        <w:pStyle w:val="Heading1"/>
        <w:spacing w:after="200" w:before="400"/>
      </w:pPr>
      <w:r>
        <w:t xml:space="preserve">5.8 Story Mapping</w:t>
      </w:r>
    </w:p>
    <w:p>
      <w:pPr>
        <w:spacing w:after="160"/>
      </w:pPr>
      <w:r>
        <w:t xml:space="preserve">Stories are mapped along the gardener's actual journey rather than by epic in isolation: discover a plant (US-01, US-02), plant and track it (US-03, US-04), share knowledge about it (US-05). This ordering is what Sprint sequencing in Section 6 is built from, planting cannot be tracked before a gardener can find what they're planting.</w:t>
      </w:r>
    </w:p>
    <w:p>
      <w:pPr>
        <w:pStyle w:val="Heading1"/>
        <w:spacing w:after="200" w:before="400"/>
      </w:pPr>
      <w:r>
        <w:t xml:space="preserve">5.9 Backlog Refinement</w:t>
      </w:r>
    </w:p>
    <w:p>
      <w:pPr>
        <w:spacing w:after="160"/>
      </w:pPr>
      <w:r>
        <w:t xml:space="preserve">Refinement happens on a standing cadence once real sprints begin, story points, acceptance criteria detail, and dependency accuracy are revisited by the delivery team before each Sprint Planning session, not finalised once and left static.</w:t>
      </w:r>
    </w:p>
    <w:p>
      <w:pPr>
        <w:pStyle w:val="Heading1"/>
        <w:spacing w:after="200" w:before="400"/>
      </w:pPr>
      <w:r>
        <w:t xml:space="preserve">5.10 Traceability</w:t>
      </w:r>
    </w:p>
    <w:p>
      <w:pPr>
        <w:spacing w:after="160"/>
      </w:pPr>
      <w:r>
        <w:t xml:space="preserve">Every story ID above traces to a Feature ID (Section 4.10), which traces to an Epic ID (Section 4.9), which traces to a Business Objective (Section 2.3). This chain is what the RTM formalises, and what Jira must preserve exactly, no story is entered into Jira without its upstream IDs referenced in the story description.</w:t>
      </w:r>
    </w:p>
    <w:p>
      <w:pPr>
        <w:pStyle w:val="Heading1"/>
        <w:spacing w:after="200" w:before="400"/>
      </w:pPr>
      <w:r>
        <w:t xml:space="preserve">5.11 Delivery Reflection</w:t>
      </w:r>
    </w:p>
    <w:p>
      <w:pPr>
        <w:spacing w:after="160"/>
      </w:pPr>
      <w:r>
        <w:t xml:space="preserve">The real decision in this section was whether to size the backlog for all four epics evenly or sequence by dependency. I sequenced by the actual gardener journey, find, plant, share, rather than by epic order.</w:t>
      </w:r>
    </w:p>
    <w:p>
      <w:pPr>
        <w:spacing w:after="160"/>
      </w:pPr>
      <w:r>
        <w:t xml:space="preserve">US-06's dependency on the other three stories means usage capture cannot honestly be the first thing built, even though it's tempting to build BO-04's foundation first. Getting this sequencing wrong would mean Sprint 1 planning in Section 6 either idles on a blocked story or has to reshuffle scope mid-sprint.</w:t>
      </w:r>
    </w:p>
    <w:p>
      <w:pPr>
        <w:pStyle w:val="Heading1"/>
        <w:spacing w:after="200" w:before="400"/>
      </w:pPr>
      <w:r>
        <w:t xml:space="preserve">5.12 Executive Takeaway</w:t>
      </w:r>
    </w:p>
    <w:p>
      <w:pPr>
        <w:spacing w:after="160"/>
      </w:pPr>
      <w:r>
        <w:t xml:space="preserve">The backlog is structured, dependency-mapped, and traceable back to Section 4's Epic Catalogue and forward into Jira. Story points remain unestimated by design, that estimation belongs to the real delivery team at Sprint Planning, not to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2026-08-21T01:21:55.208Z</dcterms:created>
  <dcterms:modified xsi:type="dcterms:W3CDTF">2026-08-21T01:21:55.208Z</dcterms:modified>
</cp:coreProperties>
</file>

<file path=docProps/custom.xml><?xml version="1.0" encoding="utf-8"?>
<Properties xmlns="http://schemas.openxmlformats.org/officeDocument/2006/custom-properties" xmlns:vt="http://schemas.openxmlformats.org/officeDocument/2006/docPropsVTypes"/>
</file>