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EcoGrow</w:t>
      </w:r>
    </w:p>
    <w:p>
      <w:pPr>
        <w:spacing w:after="100"/>
      </w:pPr>
      <w:r>
        <w:rPr>
          <w:b/>
          <w:bCs/>
          <w:color w:val="0E7C7B"/>
          <w:sz w:val="32"/>
          <w:szCs w:val="32"/>
        </w:rPr>
        <w:t xml:space="preserve">Section 7: Business Validation &amp; Product Acceptance</w:t>
      </w:r>
    </w:p>
    <w:p>
      <w:pPr>
        <w:spacing w:after="200"/>
      </w:pPr>
      <w:r>
        <w:rPr>
          <w:color w:val="5A6B6B"/>
          <w:sz w:val="22"/>
          <w:szCs w:val="22"/>
        </w:rPr>
        <w:t xml:space="preserve">Prepared by Doris Frank, Business Analyst</w:t>
      </w:r>
    </w:p>
    <w:p>
      <w:pPr>
        <w:spacing w:after="200"/>
      </w:pPr>
      <w:r/>
      <w:r>
        <w:rPr>
          <w:i/>
        </w:rPr>
        <w:t>Status note: I now have real prototype evidence for all seven MVP stories, US-01 (ECO-5), US-02 (ECO-6), US-03 (ECO-7), US-04 (ECO-8), US-05 (ECO-9), US-06 (ECO-10), and US-07 (ECO-12). Every prototype carries an explicit disclaimer that it is a portfolio test build, not evidence of a pre-existing production EcoGrow application.</w:t>
      </w:r>
    </w:p>
    <w:p>
      <w:r>
        <w:rPr>
          <w:i/>
        </w:rPr>
        <w:t>I'm recording what each prototype actually demonstrated below, without treating a self-built, self-tested prototype as formal acceptance/UAT or final MVP product acceptance.</w:t>
      </w:r>
    </w:p>
    <w:p>
      <w:r>
        <w:rPr>
          <w:i/>
        </w:rPr>
        <w:t>Two open items remain: ECO-10 currently has two different prototype builds rather than one, needing reconciliation before its evidence is final, and FR-01, FR-03, and FR-09 never went through the same DEC-based acceptance criteria confirmation that FR-05 (DEC-03) and FR-06 (DEC-04) did, their criteria live only inside the prototype and Jira evidence, not a Decision Register entry.</w:t>
      </w:r>
    </w:p>
    <w:p>
      <w:pPr>
        <w:pStyle w:val="Heading1"/>
        <w:spacing w:after="200" w:before="400"/>
      </w:pPr>
      <w:r>
        <w:t xml:space="preserve">7.1 Sprint Reviews</w:t>
      </w:r>
    </w:p>
    <w:p>
      <w:pPr>
        <w:spacing w:after="160"/>
      </w:pPr>
      <w:r>
        <w:t>A full Sprint Review, all four personas present, formal demonstration, hasn't been evidenced for any sprint yet. What I do have is real prototype-walkthrough evidence for all seven MVP stories, screenshots and recordings showing each story's acceptance criteria being exercised against a purpose-built prototype, not a production system.</w:t>
      </w:r>
    </w:p>
    <w:p>
      <w:r>
        <w:t>I'm treating that as real but partial evidence, consistent with the discipline applied to FR-05 and FR-06 earlier, not a substitute for the formal Sprint Review this subsection describes going forward.</w:t>
      </w:r>
    </w:p>
    <w:p>
      <w:pPr>
        <w:pStyle w:val="Heading1"/>
        <w:spacing w:after="200" w:before="400"/>
      </w:pPr>
      <w:r>
        <w:t xml:space="preserve">7.2 Stakeholder Feedback</w:t>
      </w:r>
    </w:p>
    <w:p>
      <w:pPr>
        <w:spacing w:after="160"/>
      </w:pPr>
      <w:r>
        <w:t>I log feedback captured at each Sprint Review against the specific story it concerns, with a clear accepted, accepted with changes, or rejected outcome, so feedback remains traceable rather than anecdotal. No formal Sprint Review has occurred yet for any story, so no accepted/rejected outcome is recorded here.</w:t>
      </w:r>
    </w:p>
    <w:p>
      <w:r>
        <w:t>What exists instead is prototype-demonstration evidence per story, logged in Section 7.3, which is a narrower claim than stakeholder feedback and I'm keeping the two distinct rather than treating a demo as feedback.</w:t>
      </w:r>
    </w:p>
    <w:p>
      <w:pPr>
        <w:pStyle w:val="Heading1"/>
        <w:spacing w:after="200" w:before="400"/>
      </w:pPr>
      <w:r>
        <w:t xml:space="preserve">7.3 Acceptance Criteria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300"/>
      </w:tblGrid>
      <w:tr>
        <w:tc>
          <w:tcPr>
            <w:tcW w:type="dxa" w:w="1200"/>
            <w:shd w:fill="0E7C7B" w:val="clear"/>
          </w:tcPr>
          <w:p>
            <w:r>
              <w:rPr>
                <w:b/>
                <w:bCs/>
                <w:color w:val="FFFFFF"/>
                <w:sz w:val="20"/>
                <w:szCs w:val="20"/>
              </w:rPr>
              <w:t xml:space="preserve">Story</w:t>
            </w:r>
          </w:p>
        </w:tc>
        <w:tc>
          <w:tcPr>
            <w:tcW w:type="dxa" w:w="2200"/>
            <w:shd w:fill="0E7C7B" w:val="clear"/>
          </w:tcPr>
          <w:p>
            <w:r>
              <w:rPr>
                <w:b/>
                <w:bCs/>
                <w:color w:val="FFFFFF"/>
                <w:sz w:val="20"/>
                <w:szCs w:val="20"/>
              </w:rPr>
              <w:t xml:space="preserve">Acceptance Criteria Ref</w:t>
            </w:r>
          </w:p>
        </w:tc>
        <w:tc>
          <w:tcPr>
            <w:tcW w:type="dxa" w:w="3300"/>
            <w:shd w:fill="0E7C7B" w:val="clear"/>
          </w:tcPr>
          <w:p>
            <w:r>
              <w:rPr>
                <w:b/>
                <w:bCs/>
                <w:color w:val="FFFFFF"/>
                <w:sz w:val="20"/>
                <w:szCs w:val="20"/>
              </w:rPr>
              <w:t xml:space="preserve">Validation Status</w:t>
            </w:r>
          </w:p>
        </w:tc>
      </w:tr>
      <w:tr>
        <w:tc>
          <w:tcPr>
            <w:tcW w:type="dxa" w:w="1200"/>
          </w:tcPr>
          <w:p>
            <w:r>
              <w:rPr>
                <w:b w:val="false"/>
                <w:bCs w:val="false"/>
                <w:color w:val="000000"/>
                <w:sz w:val="20"/>
                <w:szCs w:val="20"/>
              </w:rPr>
              <w:t xml:space="preserve">US-01</w:t>
            </w:r>
          </w:p>
        </w:tc>
        <w:tc>
          <w:tcPr>
            <w:tcW w:type="dxa" w:w="2200"/>
          </w:tcPr>
          <w:p>
            <w:r>
              <w:rPr>
                <w:b w:val="false"/>
                <w:bCs w:val="false"/>
                <w:color w:val="000000"/>
                <w:sz w:val="20"/>
                <w:szCs w:val="20"/>
              </w:rPr>
              <w:t xml:space="preserve">FR-01</w:t>
            </w:r>
          </w:p>
        </w:tc>
        <w:tc>
          <w:tcPr>
            <w:tcW w:type="dxa" w:w="3300"/>
          </w:tcPr>
          <w:p>
            <w:r>
              <w:t>Prototype walkthrough completed against FR-01 using the ECO-5 portfolio test prototype. Acceptance criteria demonstrated, formal acceptance/UAT and RTM validation remain pending.</w:t>
            </w:r>
          </w:p>
        </w:tc>
      </w:tr>
      <w:tr>
        <w:tc>
          <w:tcPr>
            <w:tcW w:type="dxa" w:w="1200"/>
          </w:tcPr>
          <w:p>
            <w:r>
              <w:rPr>
                <w:b w:val="false"/>
                <w:bCs w:val="false"/>
                <w:color w:val="000000"/>
                <w:sz w:val="20"/>
                <w:szCs w:val="20"/>
              </w:rPr>
              <w:t xml:space="preserve">US-02</w:t>
            </w:r>
          </w:p>
        </w:tc>
        <w:tc>
          <w:tcPr>
            <w:tcW w:type="dxa" w:w="2200"/>
          </w:tcPr>
          <w:p>
            <w:r>
              <w:rPr>
                <w:b w:val="false"/>
                <w:bCs w:val="false"/>
                <w:color w:val="000000"/>
                <w:sz w:val="20"/>
                <w:szCs w:val="20"/>
              </w:rPr>
              <w:t xml:space="preserve">FR-02</w:t>
            </w:r>
          </w:p>
        </w:tc>
        <w:tc>
          <w:tcPr>
            <w:tcW w:type="dxa" w:w="3300"/>
          </w:tcPr>
          <w:p>
            <w:r>
              <w:t>Prototype walkthrough completed against FR-02 using the ECO-6 portfolio test prototype. Acceptance criteria demonstrated, formal acceptance/UAT and RTM validation remain pending.</w:t>
            </w:r>
          </w:p>
        </w:tc>
      </w:tr>
      <w:tr>
        <w:tc>
          <w:tcPr>
            <w:tcW w:type="dxa" w:w="1200"/>
          </w:tcPr>
          <w:p>
            <w:r>
              <w:rPr>
                <w:b w:val="false"/>
                <w:bCs w:val="false"/>
                <w:color w:val="000000"/>
                <w:sz w:val="20"/>
                <w:szCs w:val="20"/>
              </w:rPr>
              <w:t xml:space="preserve">US-03</w:t>
            </w:r>
          </w:p>
        </w:tc>
        <w:tc>
          <w:tcPr>
            <w:tcW w:type="dxa" w:w="2200"/>
          </w:tcPr>
          <w:p>
            <w:r>
              <w:rPr>
                <w:b w:val="false"/>
                <w:bCs w:val="false"/>
                <w:color w:val="000000"/>
                <w:sz w:val="20"/>
                <w:szCs w:val="20"/>
              </w:rPr>
              <w:t xml:space="preserve">FR-05</w:t>
            </w:r>
          </w:p>
        </w:tc>
        <w:tc>
          <w:tcPr>
            <w:tcW w:type="dxa" w:w="3300"/>
          </w:tcPr>
          <w:p>
            <w:r>
              <w:t>Prototype walkthrough completed against FR-05 AC1-AC3 using the ECO-7 portfolio test prototype, per DEC-03. Formal acceptance/UAT and RTM validation remain pending.</w:t>
            </w:r>
          </w:p>
        </w:tc>
      </w:tr>
      <w:tr>
        <w:tc>
          <w:tcPr>
            <w:tcW w:type="dxa" w:w="1200"/>
          </w:tcPr>
          <w:p>
            <w:r>
              <w:rPr>
                <w:b w:val="false"/>
                <w:bCs w:val="false"/>
                <w:color w:val="000000"/>
                <w:sz w:val="20"/>
                <w:szCs w:val="20"/>
              </w:rPr>
              <w:t xml:space="preserve">US-04</w:t>
            </w:r>
          </w:p>
        </w:tc>
        <w:tc>
          <w:tcPr>
            <w:tcW w:type="dxa" w:w="2200"/>
          </w:tcPr>
          <w:p>
            <w:r>
              <w:rPr>
                <w:b w:val="false"/>
                <w:bCs w:val="false"/>
                <w:color w:val="000000"/>
                <w:sz w:val="20"/>
                <w:szCs w:val="20"/>
              </w:rPr>
              <w:t xml:space="preserve">FR-06</w:t>
            </w:r>
          </w:p>
        </w:tc>
        <w:tc>
          <w:tcPr>
            <w:tcW w:type="dxa" w:w="3300"/>
          </w:tcPr>
          <w:p>
            <w:r>
              <w:t>Prototype walkthrough completed against FR-06 AC1-AC3 using the ECO-8 portfolio test prototype, per DEC-04. Formal acceptance/UAT and RTM validation remain pending.</w:t>
            </w:r>
          </w:p>
        </w:tc>
      </w:tr>
      <w:tr>
        <w:tc>
          <w:tcPr>
            <w:tcW w:type="dxa" w:w="1200"/>
          </w:tcPr>
          <w:p>
            <w:r>
              <w:rPr>
                <w:b w:val="false"/>
                <w:bCs w:val="false"/>
                <w:color w:val="000000"/>
                <w:sz w:val="20"/>
                <w:szCs w:val="20"/>
              </w:rPr>
              <w:t xml:space="preserve">US-05</w:t>
            </w:r>
          </w:p>
        </w:tc>
        <w:tc>
          <w:tcPr>
            <w:tcW w:type="dxa" w:w="2200"/>
          </w:tcPr>
          <w:p>
            <w:r>
              <w:rPr>
                <w:b w:val="false"/>
                <w:bCs w:val="false"/>
                <w:color w:val="000000"/>
                <w:sz w:val="20"/>
                <w:szCs w:val="20"/>
              </w:rPr>
              <w:t xml:space="preserve">FR-03</w:t>
            </w:r>
          </w:p>
        </w:tc>
        <w:tc>
          <w:tcPr>
            <w:tcW w:type="dxa" w:w="3300"/>
          </w:tcPr>
          <w:p>
            <w:r>
              <w:t>Prototype walkthrough completed against FR-03 using the ECO-9 portfolio test prototype. Acceptance criteria demonstrated, formal acceptance/UAT and RTM validation remain pending.</w:t>
            </w:r>
          </w:p>
        </w:tc>
      </w:tr>
      <w:tr>
        <w:tc>
          <w:tcPr>
            <w:tcW w:type="dxa" w:w="1200"/>
          </w:tcPr>
          <w:p>
            <w:r>
              <w:rPr>
                <w:b w:val="false"/>
                <w:bCs w:val="false"/>
                <w:color w:val="000000"/>
                <w:sz w:val="20"/>
                <w:szCs w:val="20"/>
              </w:rPr>
              <w:t xml:space="preserve">US-06</w:t>
            </w:r>
          </w:p>
        </w:tc>
        <w:tc>
          <w:tcPr>
            <w:tcW w:type="dxa" w:w="2200"/>
          </w:tcPr>
          <w:p>
            <w:r>
              <w:rPr>
                <w:b w:val="false"/>
                <w:bCs w:val="false"/>
                <w:color w:val="000000"/>
                <w:sz w:val="20"/>
                <w:szCs w:val="20"/>
              </w:rPr>
              <w:t xml:space="preserve">FR-08</w:t>
            </w:r>
          </w:p>
        </w:tc>
        <w:tc>
          <w:tcPr>
            <w:tcW w:type="dxa" w:w="3300"/>
          </w:tcPr>
          <w:p>
            <w:r>
              <w:t>Prototype walkthrough completed against FR-08 using the ECO-10 portfolio test prototype (canonical: the three-capability build covering Plant Library and Harvest Tracker's planting and harvest actions, two of the three required capabilities), plus supplementary Community Forum usage-event evidence completing coverage of the third. Formal acceptance/UAT and RTM validation remain pending.</w:t>
            </w:r>
          </w:p>
        </w:tc>
      </w:tr>
      <w:tr>
        <w:tc>
          <w:tcPr>
            <w:tcW w:type="dxa" w:w="1200"/>
          </w:tcPr>
          <w:p>
            <w:r>
              <w:rPr>
                <w:b w:val="false"/>
                <w:bCs w:val="false"/>
                <w:color w:val="000000"/>
                <w:sz w:val="20"/>
                <w:szCs w:val="20"/>
              </w:rPr>
              <w:t xml:space="preserve">US-07</w:t>
            </w:r>
          </w:p>
        </w:tc>
        <w:tc>
          <w:tcPr>
            <w:tcW w:type="dxa" w:w="2200"/>
          </w:tcPr>
          <w:p>
            <w:r>
              <w:rPr>
                <w:b w:val="false"/>
                <w:bCs w:val="false"/>
                <w:color w:val="000000"/>
                <w:sz w:val="20"/>
                <w:szCs w:val="20"/>
              </w:rPr>
              <w:t xml:space="preserve">FR-09</w:t>
            </w:r>
          </w:p>
        </w:tc>
        <w:tc>
          <w:tcPr>
            <w:tcW w:type="dxa" w:w="3300"/>
          </w:tcPr>
          <w:p>
            <w:r>
              <w:t>Prototype walkthrough completed against FR-09 using the ECO-12 portfolio test prototype. Acceptance criteria demonstrated, formal acceptance/UAT and RTM validation remain pending.</w:t>
            </w:r>
          </w:p>
        </w:tc>
      </w:tr>
    </w:tbl>
    <w:p>
      <w:pPr>
        <w:pStyle w:val="Heading1"/>
        <w:spacing w:after="200" w:before="400"/>
      </w:pPr>
      <w:r>
        <w:t xml:space="preserve">7.4 Product Acceptance</w:t>
      </w:r>
    </w:p>
    <w:p>
      <w:pPr>
        <w:spacing w:after="160"/>
      </w:pPr>
      <w:r>
        <w:t xml:space="preserve">Formal product acceptance is a Product Owner persona sign-off against the full MVP definition in Section 4.8, not a story-by-story approval. This happens once all MVP stories, US-01 through US-07, have passed acceptance criteria validation above, not just the stories delivered in Sprint 3.</w:t>
      </w:r>
    </w:p>
    <w:p>
      <w:pPr>
        <w:pStyle w:val="Heading1"/>
        <w:spacing w:after="200" w:before="400"/>
      </w:pPr>
      <w:r>
        <w:t xml:space="preserve">7.5 Backlog Updates</w:t>
      </w:r>
    </w:p>
    <w:p>
      <w:pPr>
        <w:spacing w:after="160"/>
      </w:pPr>
      <w:r>
        <w:t xml:space="preserve">Any story that fails acceptance criteria validation returns to the backlog (Section 5) with the specific gap documented, rather than being marked done with a caveat. This keeps the Definition of Done in Section 5.6 meaningful rather than negotiable.</w:t>
      </w:r>
    </w:p>
    <w:p>
      <w:pPr>
        <w:pStyle w:val="Heading1"/>
        <w:spacing w:after="200" w:before="400"/>
      </w:pPr>
      <w:r>
        <w:t xml:space="preserve">7.6 Retrospective</w:t>
      </w:r>
    </w:p>
    <w:p>
      <w:pPr>
        <w:spacing w:after="160"/>
      </w:pPr>
      <w:r>
        <w:t xml:space="preserve">A retrospective runs at the end of each sprint, separate from the Sprint Review, focused on delivery process rather than product output. Findings that affect how future sprints are planned are logged as Decision Register entries per Section 6.10.</w:t>
      </w:r>
    </w:p>
    <w:p>
      <w:pPr>
        <w:pStyle w:val="Heading1"/>
        <w:spacing w:after="200" w:before="400"/>
      </w:pPr>
      <w:r>
        <w:t xml:space="preserve">7.7 Business Validation</w:t>
      </w:r>
    </w:p>
    <w:p>
      <w:pPr>
        <w:spacing w:after="160"/>
      </w:pPr>
      <w:r>
        <w:t xml:space="preserve">Business validation is the check this report is built to protect: does delivered functionality actually satisfy the business requirement it traces to (Section 2, Section 3), not just its own acceptance criteria. A story can pass acceptance criteria while missing business intent, this step exists specifically to catch that gap before Section 8 release readiness.</w:t>
      </w:r>
    </w:p>
    <w:p>
      <w:pPr>
        <w:pStyle w:val="Heading1"/>
        <w:spacing w:after="200" w:before="400"/>
      </w:pPr>
      <w:r>
        <w:t xml:space="preserve">7.8 Future Enhancement Decisions</w:t>
      </w:r>
    </w:p>
    <w:p>
      <w:pPr>
        <w:spacing w:after="160"/>
      </w:pPr>
      <w:r>
        <w:t xml:space="preserve">Features deferred from the MVP, Community Forum response and the visual progress timeline identified in Section 4.6, are re-assessed here against real Sprint 1-3 learnings, not re-decided from the original Section 4 assumptions alone. Real usage patterns from the MVP may change their Phase 2 priority.</w:t>
      </w:r>
    </w:p>
    <w:p>
      <w:pPr>
        <w:spacing w:after="160"/>
      </w:pPr>
      <w:r>
        <w:t xml:space="preserve">No Phase 2 scope is added to the MVP backlog without formal re-prioritisation, matching the same guardrail the Jira Build Specification sets against premature Phase 2 scope creation.</w:t>
      </w:r>
    </w:p>
    <w:p>
      <w:pPr>
        <w:pStyle w:val="Heading1"/>
        <w:spacing w:after="200" w:before="400"/>
      </w:pPr>
      <w:r>
        <w:t xml:space="preserve">7.9 Delivery Reflection</w:t>
      </w:r>
    </w:p>
    <w:p>
      <w:pPr>
        <w:spacing w:after="160"/>
      </w:pPr>
      <w:r>
        <w:t xml:space="preserve">I'm holding this section to the same discipline Section 6 now demonstrates: report what's evidenced, flag what isn't, and don't let a partial result get rounded up to a complete one.</w:t>
      </w:r>
    </w:p>
    <w:p>
      <w:pPr>
        <w:spacing w:after="160"/>
      </w:pPr>
      <w:r>
        <w:t xml:space="preserve">US-01 and US-02 being Done in Jira but not yet acceptance-validated is exactly that kind of partial result, and I chose to keep those as two separate facts in 7.3 rather than collapsing them into a single 'delivered' status.</w:t>
      </w:r>
    </w:p>
    <w:p>
      <w:pPr>
        <w:spacing w:after="160"/>
      </w:pPr>
      <w:r>
        <w:t xml:space="preserve">The other design decision worth flagging is separating acceptance criteria validation (7.3) from business validation (7.7) as two distinct checks rather than one combined step. That separation exists because the two can genuinely disagree, a story can be technically correct and still miss what EcoGrow actually needs, and collapsing them into one step would hide that distinction from whoever reads this report.</w:t>
      </w:r>
    </w:p>
    <w:p>
      <w:pPr>
        <w:pStyle w:val="Heading1"/>
        <w:spacing w:after="200" w:before="400"/>
      </w:pPr>
      <w:r>
        <w:t xml:space="preserve">7.10 Executive Takeaway</w:t>
      </w:r>
    </w:p>
    <w:p>
      <w:pPr>
        <w:spacing w:after="160"/>
      </w:pPr>
      <w:r>
        <w:t>Validation in this engagement is a two-layer check, technical acceptance and business intent, not a single sign-off. Every MVP story now has real prototype-walkthrough evidence, which is genuine progress from a governance standpoint, but none of it clears the acceptance-testing or Sprint Review bar this section holds to. RTM validation status reflects that: In progress, not Validated, for every story with prototype evidence.</w:t>
      </w:r>
    </w:p>
    <w:p>
      <w:pPr>
        <w:spacing w:after="160"/>
      </w:pPr>
      <w:r>
        <w:t xml:space="preserve">The rest of this section populates in real time as Sprint 2 and Sprint 3 output is reviewed, and feeds directly into the go/no-go decision in Section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2026-08-21T01:21:55.517Z</dcterms:created>
  <dcterms:modified xsi:type="dcterms:W3CDTF">2026-08-21T01:21:55.517Z</dcterms:modified>
</cp:coreProperties>
</file>

<file path=docProps/custom.xml><?xml version="1.0" encoding="utf-8"?>
<Properties xmlns="http://schemas.openxmlformats.org/officeDocument/2006/custom-properties" xmlns:vt="http://schemas.openxmlformats.org/officeDocument/2006/docPropsVTypes"/>
</file>