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EcoGrow</w:t>
      </w:r>
    </w:p>
    <w:p>
      <w:pPr>
        <w:spacing w:after="100"/>
      </w:pPr>
      <w:r>
        <w:rPr>
          <w:b/>
          <w:bCs/>
          <w:color w:val="0E7C7B"/>
          <w:sz w:val="32"/>
          <w:szCs w:val="32"/>
        </w:rPr>
        <w:t xml:space="preserve">Section 8: Release Readiness, Deployment &amp; Benefits Realisation</w:t>
      </w:r>
    </w:p>
    <w:p>
      <w:pPr>
        <w:spacing w:after="200"/>
      </w:pPr>
      <w:r>
        <w:rPr>
          <w:color w:val="5A6B6B"/>
          <w:sz w:val="22"/>
          <w:szCs w:val="22"/>
        </w:rPr>
        <w:t xml:space="preserve">Prepared by Doris Frank, Business Analyst</w:t>
      </w:r>
    </w:p>
    <w:p>
      <w:pPr>
        <w:spacing w:after="200"/>
      </w:pPr>
      <w:r>
        <w:rPr>
          <w:i/>
          <w:iCs/>
          <w:color w:val="B8860B"/>
          <w:sz w:val="20"/>
          <w:szCs w:val="20"/>
        </w:rPr>
        <w:t xml:space="preserve">Status note: release readiness and benefits realisation both require Section 7 validation to be complete. The checklist and framework below are ready to apply, no release decision or benefit figure is asserted before it is real.</w:t>
      </w:r>
    </w:p>
    <w:p>
      <w:pPr>
        <w:pStyle w:val="Heading1"/>
        <w:spacing w:after="200" w:before="400"/>
      </w:pPr>
      <w:r>
        <w:t xml:space="preserve">8.1 Release Readiness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400"/>
        <w:gridCol w:w="2600"/>
      </w:tblGrid>
      <w:tr>
        <w:tc>
          <w:tcPr>
            <w:tcW w:type="dxa" w:w="6400"/>
            <w:shd w:fill="0E7C7B" w:val="clear"/>
          </w:tcPr>
          <w:p>
            <w:r>
              <w:rPr>
                <w:b/>
                <w:bCs/>
                <w:color w:val="FFFFFF"/>
                <w:sz w:val="20"/>
                <w:szCs w:val="20"/>
              </w:rPr>
              <w:t xml:space="preserve">Item</w:t>
            </w:r>
          </w:p>
        </w:tc>
        <w:tc>
          <w:tcPr>
            <w:tcW w:type="dxa" w:w="2600"/>
            <w:shd w:fill="0E7C7B" w:val="clear"/>
          </w:tcPr>
          <w:p>
            <w:r>
              <w:rPr>
                <w:b/>
                <w:bCs/>
                <w:color w:val="FFFFFF"/>
                <w:sz w:val="20"/>
                <w:szCs w:val="20"/>
              </w:rPr>
              <w:t xml:space="preserve">Status</w:t>
            </w:r>
          </w:p>
        </w:tc>
      </w:tr>
      <w:tr>
        <w:tc>
          <w:tcPr>
            <w:tcW w:type="dxa" w:w="6400"/>
          </w:tcPr>
          <w:p>
            <w:r>
              <w:rPr>
                <w:b w:val="false"/>
                <w:bCs w:val="false"/>
                <w:color w:val="000000"/>
                <w:sz w:val="20"/>
                <w:szCs w:val="20"/>
              </w:rPr>
              <w:t xml:space="preserve">All MVP stories pass acceptance criteria validation (Section 7.3)</w:t>
            </w:r>
          </w:p>
        </w:tc>
        <w:tc>
          <w:tcPr>
            <w:tcW w:type="dxa" w:w="2600"/>
          </w:tcPr>
          <w:p>
            <w:r>
              <w:rPr>
                <w:b w:val="false"/>
                <w:bCs w:val="false"/>
                <w:color w:val="000000"/>
                <w:sz w:val="20"/>
                <w:szCs w:val="20"/>
              </w:rPr>
              <w:t xml:space="preserve">Pending</w:t>
            </w:r>
          </w:p>
        </w:tc>
      </w:tr>
      <w:tr>
        <w:tc>
          <w:tcPr>
            <w:tcW w:type="dxa" w:w="6400"/>
          </w:tcPr>
          <w:p>
            <w:r>
              <w:rPr>
                <w:b w:val="false"/>
                <w:bCs w:val="false"/>
                <w:color w:val="000000"/>
                <w:sz w:val="20"/>
                <w:szCs w:val="20"/>
              </w:rPr>
              <w:t xml:space="preserve">Business validation complete for all MVP epics (Section 7.7)</w:t>
            </w:r>
          </w:p>
        </w:tc>
        <w:tc>
          <w:tcPr>
            <w:tcW w:type="dxa" w:w="2600"/>
          </w:tcPr>
          <w:p>
            <w:r>
              <w:rPr>
                <w:b w:val="false"/>
                <w:bCs w:val="false"/>
                <w:color w:val="000000"/>
                <w:sz w:val="20"/>
                <w:szCs w:val="20"/>
              </w:rPr>
              <w:t xml:space="preserve">Pending</w:t>
            </w:r>
          </w:p>
        </w:tc>
      </w:tr>
      <w:tr>
        <w:tc>
          <w:tcPr>
            <w:tcW w:type="dxa" w:w="6400"/>
          </w:tcPr>
          <w:p>
            <w:r>
              <w:rPr>
                <w:b w:val="false"/>
                <w:bCs w:val="false"/>
                <w:color w:val="000000"/>
                <w:sz w:val="20"/>
                <w:szCs w:val="20"/>
              </w:rPr>
              <w:t xml:space="preserve">Usage event capture (US-06) confirmed flowing to reporting layer</w:t>
            </w:r>
          </w:p>
        </w:tc>
        <w:tc>
          <w:tcPr>
            <w:tcW w:type="dxa" w:w="2600"/>
          </w:tcPr>
          <w:p>
            <w:r>
              <w:rPr>
                <w:b w:val="false"/>
                <w:bCs w:val="false"/>
                <w:color w:val="000000"/>
                <w:sz w:val="20"/>
                <w:szCs w:val="20"/>
              </w:rPr>
              <w:t xml:space="preserve">Pending</w:t>
            </w:r>
          </w:p>
        </w:tc>
      </w:tr>
      <w:tr>
        <w:tc>
          <w:tcPr>
            <w:tcW w:type="dxa" w:w="6400"/>
          </w:tcPr>
          <w:p>
            <w:r>
              <w:rPr>
                <w:b w:val="false"/>
                <w:bCs w:val="false"/>
                <w:color w:val="000000"/>
                <w:sz w:val="20"/>
                <w:szCs w:val="20"/>
              </w:rPr>
              <w:t xml:space="preserve">Product Owner persona sign-off obtained (Section 7.4)</w:t>
            </w:r>
          </w:p>
        </w:tc>
        <w:tc>
          <w:tcPr>
            <w:tcW w:type="dxa" w:w="2600"/>
          </w:tcPr>
          <w:p>
            <w:r>
              <w:rPr>
                <w:b w:val="false"/>
                <w:bCs w:val="false"/>
                <w:color w:val="000000"/>
                <w:sz w:val="20"/>
                <w:szCs w:val="20"/>
              </w:rPr>
              <w:t xml:space="preserve">Pending</w:t>
            </w:r>
          </w:p>
        </w:tc>
      </w:tr>
      <w:tr>
        <w:tc>
          <w:tcPr>
            <w:tcW w:type="dxa" w:w="6400"/>
          </w:tcPr>
          <w:p>
            <w:r>
              <w:rPr>
                <w:b w:val="false"/>
                <w:bCs w:val="false"/>
                <w:color w:val="000000"/>
                <w:sz w:val="20"/>
                <w:szCs w:val="20"/>
              </w:rPr>
              <w:t xml:space="preserve">Known defects triaged with none blocking MVP scope</w:t>
            </w:r>
          </w:p>
        </w:tc>
        <w:tc>
          <w:tcPr>
            <w:tcW w:type="dxa" w:w="2600"/>
          </w:tcPr>
          <w:p>
            <w:r>
              <w:rPr>
                <w:b w:val="false"/>
                <w:bCs w:val="false"/>
                <w:color w:val="000000"/>
                <w:sz w:val="20"/>
                <w:szCs w:val="20"/>
              </w:rPr>
              <w:t xml:space="preserve">Pending</w:t>
            </w:r>
          </w:p>
        </w:tc>
      </w:tr>
    </w:tbl>
    <w:p>
      <w:pPr>
        <w:pStyle w:val="Heading1"/>
        <w:spacing w:after="200" w:before="400"/>
      </w:pPr>
      <w:r>
        <w:t xml:space="preserve">8.2 Go/No-Go Assessment</w:t>
      </w:r>
    </w:p>
    <w:p>
      <w:pPr>
        <w:spacing w:after="160"/>
      </w:pPr>
      <w:r>
        <w:t xml:space="preserve">I placed the go/no-go decision with the Product Sponsor persona, informed by the checklist above and the Section 7 business validation outcome. A No-Go does not default to delay, it defaults to a scoped decision, either extending validation on the specific failing item, or releasing a reduced MVP with the failing item explicitly excluded and logged.</w:t>
      </w:r>
    </w:p>
    <w:p>
      <w:pPr>
        <w:pStyle w:val="Heading1"/>
        <w:spacing w:after="200" w:before="400"/>
      </w:pPr>
      <w:r>
        <w:t xml:space="preserve">8.3 Deployment Strategy</w:t>
      </w:r>
    </w:p>
    <w:p>
      <w:pPr>
        <w:spacing w:after="160"/>
      </w:pPr>
      <w:r>
        <w:t xml:space="preserve">I kept EcoGrow deploying as a single MVP release rather than a phased rollout, consistent with the release strategy locked in Section 4.11. This section will confirm the actual deployment approach (direct cutover versus staged rollout to a limited user group) once release readiness is confirmed.</w:t>
      </w:r>
    </w:p>
    <w:p>
      <w:pPr>
        <w:pStyle w:val="Heading1"/>
        <w:spacing w:after="200" w:before="400"/>
      </w:pPr>
      <w:r>
        <w:t xml:space="preserve">8.4 Deployment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0E7C7B" w:val="clear"/>
          </w:tcPr>
          <w:p>
            <w:r>
              <w:rPr>
                <w:b/>
                <w:bCs/>
                <w:color w:val="FFFFFF"/>
                <w:sz w:val="20"/>
                <w:szCs w:val="20"/>
              </w:rPr>
              <w:t xml:space="preserve">Phase</w:t>
            </w:r>
          </w:p>
        </w:tc>
        <w:tc>
          <w:tcPr>
            <w:tcW w:type="dxa" w:w="6800"/>
            <w:shd w:fill="0E7C7B" w:val="clear"/>
          </w:tcPr>
          <w:p>
            <w:r>
              <w:rPr>
                <w:b/>
                <w:bCs/>
                <w:color w:val="FFFFFF"/>
                <w:sz w:val="20"/>
                <w:szCs w:val="20"/>
              </w:rPr>
              <w:t xml:space="preserve">Purpose</w:t>
            </w:r>
          </w:p>
        </w:tc>
      </w:tr>
      <w:tr>
        <w:tc>
          <w:tcPr>
            <w:tcW w:type="dxa" w:w="2200"/>
          </w:tcPr>
          <w:p>
            <w:r>
              <w:rPr>
                <w:b w:val="false"/>
                <w:bCs w:val="false"/>
                <w:color w:val="000000"/>
                <w:sz w:val="20"/>
                <w:szCs w:val="20"/>
              </w:rPr>
              <w:t xml:space="preserve">Pre-deployment</w:t>
            </w:r>
          </w:p>
        </w:tc>
        <w:tc>
          <w:tcPr>
            <w:tcW w:type="dxa" w:w="6800"/>
          </w:tcPr>
          <w:p>
            <w:r>
              <w:rPr>
                <w:b w:val="false"/>
                <w:bCs w:val="false"/>
                <w:color w:val="000000"/>
                <w:sz w:val="20"/>
                <w:szCs w:val="20"/>
              </w:rPr>
              <w:t xml:space="preserve">Final environment checks, usage event capture validated in production configuration</w:t>
            </w:r>
          </w:p>
        </w:tc>
      </w:tr>
      <w:tr>
        <w:tc>
          <w:tcPr>
            <w:tcW w:type="dxa" w:w="2200"/>
          </w:tcPr>
          <w:p>
            <w:r>
              <w:rPr>
                <w:b w:val="false"/>
                <w:bCs w:val="false"/>
                <w:color w:val="000000"/>
                <w:sz w:val="20"/>
                <w:szCs w:val="20"/>
              </w:rPr>
              <w:t xml:space="preserve">Deployment</w:t>
            </w:r>
          </w:p>
        </w:tc>
        <w:tc>
          <w:tcPr>
            <w:tcW w:type="dxa" w:w="6800"/>
          </w:tcPr>
          <w:p>
            <w:r>
              <w:rPr>
                <w:b w:val="false"/>
                <w:bCs w:val="false"/>
                <w:color w:val="000000"/>
                <w:sz w:val="20"/>
                <w:szCs w:val="20"/>
              </w:rPr>
              <w:t xml:space="preserve">MVP goes live</w:t>
            </w:r>
          </w:p>
        </w:tc>
      </w:tr>
      <w:tr>
        <w:tc>
          <w:tcPr>
            <w:tcW w:type="dxa" w:w="2200"/>
          </w:tcPr>
          <w:p>
            <w:r>
              <w:rPr>
                <w:b w:val="false"/>
                <w:bCs w:val="false"/>
                <w:color w:val="000000"/>
                <w:sz w:val="20"/>
                <w:szCs w:val="20"/>
              </w:rPr>
              <w:t xml:space="preserve">Post-deployment</w:t>
            </w:r>
          </w:p>
        </w:tc>
        <w:tc>
          <w:tcPr>
            <w:tcW w:type="dxa" w:w="6800"/>
          </w:tcPr>
          <w:p>
            <w:r>
              <w:rPr>
                <w:b w:val="false"/>
                <w:bCs w:val="false"/>
                <w:color w:val="000000"/>
                <w:sz w:val="20"/>
                <w:szCs w:val="20"/>
              </w:rPr>
              <w:t xml:space="preserve">Hypercare window, see 8.6</w:t>
            </w:r>
          </w:p>
        </w:tc>
      </w:tr>
    </w:tbl>
    <w:p>
      <w:pPr>
        <w:pStyle w:val="Heading1"/>
        <w:spacing w:after="200" w:before="400"/>
      </w:pPr>
      <w:r>
        <w:t xml:space="preserve">8.5 Operational Handover</w:t>
      </w:r>
    </w:p>
    <w:p>
      <w:pPr>
        <w:spacing w:after="160"/>
      </w:pPr>
      <w:r>
        <w:t xml:space="preserve">Handover from the delivery team to whoever operates EcoGrow day-to-day (support, ongoing product management) is documented here once deployment occurs, including known limitations from the MVP scope decision in Section 4.8 (Community Forum response and visual timeline are explicitly out of scope, not bugs).</w:t>
      </w:r>
    </w:p>
    <w:p>
      <w:pPr>
        <w:pStyle w:val="Heading1"/>
        <w:spacing w:after="200" w:before="400"/>
      </w:pPr>
      <w:r>
        <w:t xml:space="preserve">8.6 Hypercare</w:t>
      </w:r>
    </w:p>
    <w:p>
      <w:pPr>
        <w:spacing w:after="160"/>
      </w:pPr>
      <w:r>
        <w:t xml:space="preserve">A defined hypercare window follows deployment, during which the delivery team remains on elevated availability to address issues surfaced by real usage. Hypercare duration and exit criteria are confirmed with the Product Sponsor persona ahead of deployment, not decided reactively.</w:t>
      </w:r>
    </w:p>
    <w:p>
      <w:pPr>
        <w:pStyle w:val="Heading1"/>
        <w:spacing w:after="200" w:before="400"/>
      </w:pPr>
      <w:r>
        <w:t xml:space="preserve">8.7 Benefits Monitoring</w:t>
      </w:r>
    </w:p>
    <w:p>
      <w:pPr>
        <w:spacing w:after="160"/>
      </w:pPr>
      <w:r>
        <w:t xml:space="preserve">Benefits monitoring begins from the first full month of operational data, against the success measures defined in Section 4.4. No benefit is reported as achieved before that data exists.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shd w:fill="0E7C7B" w:val="clear"/>
          </w:tcPr>
          <w:p>
            <w:r>
              <w:rPr>
                <w:b/>
                <w:bCs/>
                <w:color w:val="FFFFFF"/>
                <w:sz w:val="20"/>
                <w:szCs w:val="20"/>
              </w:rPr>
              <w:t xml:space="preserve">Objective</w:t>
            </w:r>
          </w:p>
        </w:tc>
        <w:tc>
          <w:tcPr>
            <w:tcW w:type="dxa" w:w="5200"/>
            <w:shd w:fill="0E7C7B" w:val="clear"/>
          </w:tcPr>
          <w:p>
            <w:r>
              <w:rPr>
                <w:b/>
                <w:bCs/>
                <w:color w:val="FFFFFF"/>
                <w:sz w:val="20"/>
                <w:szCs w:val="20"/>
              </w:rPr>
              <w:t xml:space="preserve">Success Measure</w:t>
            </w:r>
          </w:p>
        </w:tc>
        <w:tc>
          <w:tcPr>
            <w:tcW w:type="dxa" w:w="2600"/>
            <w:shd w:fill="0E7C7B" w:val="clear"/>
          </w:tcPr>
          <w:p>
            <w:r>
              <w:rPr>
                <w:b/>
                <w:bCs/>
                <w:color w:val="FFFFFF"/>
                <w:sz w:val="20"/>
                <w:szCs w:val="20"/>
              </w:rPr>
              <w:t xml:space="preserve">Status</w:t>
            </w:r>
          </w:p>
        </w:tc>
      </w:tr>
      <w:tr>
        <w:tc>
          <w:tcPr>
            <w:tcW w:type="dxa" w:w="1200"/>
          </w:tcPr>
          <w:p>
            <w:r>
              <w:rPr>
                <w:b w:val="false"/>
                <w:bCs w:val="false"/>
                <w:color w:val="000000"/>
                <w:sz w:val="20"/>
                <w:szCs w:val="20"/>
              </w:rPr>
              <w:t xml:space="preserve">BO-01</w:t>
            </w:r>
          </w:p>
        </w:tc>
        <w:tc>
          <w:tcPr>
            <w:tcW w:type="dxa" w:w="5200"/>
          </w:tcPr>
          <w:p>
            <w:r>
              <w:rPr>
                <w:b w:val="false"/>
                <w:bCs w:val="false"/>
                <w:color w:val="000000"/>
                <w:sz w:val="20"/>
                <w:szCs w:val="20"/>
              </w:rPr>
              <w:t xml:space="preserve">Search-to-view completion rate</w:t>
            </w:r>
          </w:p>
        </w:tc>
        <w:tc>
          <w:tcPr>
            <w:tcW w:type="dxa" w:w="2600"/>
          </w:tcPr>
          <w:p>
            <w:r>
              <w:rPr>
                <w:b w:val="false"/>
                <w:bCs w:val="false"/>
                <w:color w:val="000000"/>
                <w:sz w:val="20"/>
                <w:szCs w:val="20"/>
              </w:rPr>
              <w:t xml:space="preserve">Pending operational data</w:t>
            </w:r>
          </w:p>
        </w:tc>
      </w:tr>
      <w:tr>
        <w:tc>
          <w:tcPr>
            <w:tcW w:type="dxa" w:w="1200"/>
          </w:tcPr>
          <w:p>
            <w:r>
              <w:rPr>
                <w:b w:val="false"/>
                <w:bCs w:val="false"/>
                <w:color w:val="000000"/>
                <w:sz w:val="20"/>
                <w:szCs w:val="20"/>
              </w:rPr>
              <w:t xml:space="preserve">BO-02</w:t>
            </w:r>
          </w:p>
        </w:tc>
        <w:tc>
          <w:tcPr>
            <w:tcW w:type="dxa" w:w="5200"/>
          </w:tcPr>
          <w:p>
            <w:r>
              <w:rPr>
                <w:b w:val="false"/>
                <w:bCs w:val="false"/>
                <w:color w:val="000000"/>
                <w:sz w:val="20"/>
                <w:szCs w:val="20"/>
              </w:rPr>
              <w:t xml:space="preserve">Percentage of posts receiving a response within 48 hours</w:t>
            </w:r>
          </w:p>
        </w:tc>
        <w:tc>
          <w:tcPr>
            <w:tcW w:type="dxa" w:w="2600"/>
          </w:tcPr>
          <w:p>
            <w:r>
              <w:rPr>
                <w:b w:val="false"/>
                <w:bCs w:val="false"/>
                <w:color w:val="000000"/>
                <w:sz w:val="20"/>
                <w:szCs w:val="20"/>
              </w:rPr>
              <w:t xml:space="preserve">Pending operational data, and pending Phase 2 response feature</w:t>
            </w:r>
          </w:p>
        </w:tc>
      </w:tr>
      <w:tr>
        <w:tc>
          <w:tcPr>
            <w:tcW w:type="dxa" w:w="1200"/>
          </w:tcPr>
          <w:p>
            <w:r>
              <w:rPr>
                <w:b w:val="false"/>
                <w:bCs w:val="false"/>
                <w:color w:val="000000"/>
                <w:sz w:val="20"/>
                <w:szCs w:val="20"/>
              </w:rPr>
              <w:t xml:space="preserve">BO-03</w:t>
            </w:r>
          </w:p>
        </w:tc>
        <w:tc>
          <w:tcPr>
            <w:tcW w:type="dxa" w:w="5200"/>
          </w:tcPr>
          <w:p>
            <w:r>
              <w:rPr>
                <w:b w:val="false"/>
                <w:bCs w:val="false"/>
                <w:color w:val="000000"/>
                <w:sz w:val="20"/>
                <w:szCs w:val="20"/>
              </w:rPr>
              <w:t xml:space="preserve">Percentage of logged plantings reaching a logged harvest</w:t>
            </w:r>
          </w:p>
        </w:tc>
        <w:tc>
          <w:tcPr>
            <w:tcW w:type="dxa" w:w="2600"/>
          </w:tcPr>
          <w:p>
            <w:r>
              <w:rPr>
                <w:b w:val="false"/>
                <w:bCs w:val="false"/>
                <w:color w:val="000000"/>
                <w:sz w:val="20"/>
                <w:szCs w:val="20"/>
              </w:rPr>
              <w:t xml:space="preserve">Pending operational data</w:t>
            </w:r>
          </w:p>
        </w:tc>
      </w:tr>
      <w:tr>
        <w:tc>
          <w:tcPr>
            <w:tcW w:type="dxa" w:w="1200"/>
          </w:tcPr>
          <w:p>
            <w:r>
              <w:rPr>
                <w:b w:val="false"/>
                <w:bCs w:val="false"/>
                <w:color w:val="000000"/>
                <w:sz w:val="20"/>
                <w:szCs w:val="20"/>
              </w:rPr>
              <w:t xml:space="preserve">BO-04</w:t>
            </w:r>
          </w:p>
        </w:tc>
        <w:tc>
          <w:tcPr>
            <w:tcW w:type="dxa" w:w="5200"/>
          </w:tcPr>
          <w:p>
            <w:r>
              <w:rPr>
                <w:b w:val="false"/>
                <w:bCs w:val="false"/>
                <w:color w:val="000000"/>
                <w:sz w:val="20"/>
                <w:szCs w:val="20"/>
              </w:rPr>
              <w:t xml:space="preserve">Usage data completeness and reliability</w:t>
            </w:r>
          </w:p>
        </w:tc>
        <w:tc>
          <w:tcPr>
            <w:tcW w:type="dxa" w:w="2600"/>
          </w:tcPr>
          <w:p>
            <w:r>
              <w:rPr>
                <w:b w:val="false"/>
                <w:bCs w:val="false"/>
                <w:color w:val="000000"/>
                <w:sz w:val="20"/>
                <w:szCs w:val="20"/>
              </w:rPr>
              <w:t xml:space="preserve">Assessed from first data capture, not deferred to month one</w:t>
            </w:r>
          </w:p>
        </w:tc>
      </w:tr>
    </w:tbl>
    <w:p>
      <w:pPr>
        <w:pStyle w:val="Heading1"/>
        <w:spacing w:after="200" w:before="400"/>
      </w:pPr>
      <w:r>
        <w:t xml:space="preserve">8.8 Executive KPI Dashboard</w:t>
      </w:r>
    </w:p>
    <w:p>
      <w:pPr>
        <w:spacing w:after="160"/>
      </w:pPr>
      <w:r>
        <w:t xml:space="preserve">I am applying the same locked Power BI rule established for this engagement: before EcoGrow is operational, the dashboard shows the measurement framework above, what will be tracked and against what target, with no live numbers. Once operational data exists, it reports actuals against Section 4.4's success measures, plus Jira-derived delivery reporting (sprint progress, velocity, burndown, defects, release status) from Section 6.</w:t>
      </w:r>
    </w:p>
    <w:p>
      <w:pPr>
        <w:pStyle w:val="Heading1"/>
        <w:spacing w:after="200" w:before="400"/>
      </w:pPr>
      <w:r>
        <w:t xml:space="preserve">8.9 Delivery Reflection</w:t>
      </w:r>
    </w:p>
    <w:p>
      <w:pPr>
        <w:spacing w:after="160"/>
      </w:pPr>
      <w:r>
        <w:t xml:space="preserve">The real decision worth documenting here is the Go/No-Go framing in 8.2. A binary go/no-go is simpler to write, but it doesn't reflect how release decisions actually get made, most real release blockers are scoped exceptions, not full delays.</w:t>
      </w:r>
    </w:p>
    <w:p>
      <w:pPr>
        <w:spacing w:after="160"/>
      </w:pPr>
      <w:r>
        <w:t xml:space="preserve">I built the assessment around a scoped decision instead, because a report that only allows for full go or full stop tends to pressure a team into calling something ready when it technically isn't, rather than making an honest partial call.</w:t>
      </w:r>
    </w:p>
    <w:p>
      <w:pPr>
        <w:pStyle w:val="Heading1"/>
        <w:spacing w:after="200" w:before="400"/>
      </w:pPr>
      <w:r>
        <w:t xml:space="preserve">8.10 Executive Takeaway</w:t>
      </w:r>
    </w:p>
    <w:p>
      <w:pPr>
        <w:spacing w:after="160"/>
      </w:pPr>
      <w:r>
        <w:t xml:space="preserve">Release readiness, deployment, and benefits realisation are structured and ready to execute against, contingent entirely on Section 7 validation completing first. No release has occurred, no benefit has been measured, and this section states that plainly rather than implying otherwise.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2026-08-21T01:21:55.684Z</dcterms:created>
  <dcterms:modified xsi:type="dcterms:W3CDTF">2026-08-21T01:21:55.684Z</dcterms:modified>
</cp:coreProperties>
</file>

<file path=docProps/custom.xml><?xml version="1.0" encoding="utf-8"?>
<Properties xmlns="http://schemas.openxmlformats.org/officeDocument/2006/custom-properties" xmlns:vt="http://schemas.openxmlformats.org/officeDocument/2006/docPropsVTypes"/>
</file>