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EcoGrow</w:t>
      </w:r>
    </w:p>
    <w:p>
      <w:pPr>
        <w:spacing w:after="100"/>
      </w:pPr>
      <w:r>
        <w:rPr>
          <w:b/>
          <w:bCs/>
          <w:color w:val="0E7C7B"/>
          <w:sz w:val="32"/>
          <w:szCs w:val="32"/>
        </w:rPr>
        <w:t xml:space="preserve">Section 9: Executive Delivery Summary &amp; Next Steps</w:t>
      </w:r>
    </w:p>
    <w:p>
      <w:pPr>
        <w:spacing w:after="200"/>
      </w:pPr>
      <w:r>
        <w:rPr>
          <w:color w:val="5A6B6B"/>
          <w:sz w:val="22"/>
          <w:szCs w:val="22"/>
        </w:rPr>
        <w:t xml:space="preserve">Prepared by Doris Frank, Business Analyst</w:t>
      </w:r>
    </w:p>
    <w:p>
      <w:pPr>
        <w:spacing w:after="200"/>
      </w:pPr>
      <w:r>
        <w:rPr>
          <w:i/>
          <w:iCs/>
          <w:color w:val="B8860B"/>
          <w:sz w:val="20"/>
          <w:szCs w:val="20"/>
        </w:rPr>
        <w:t xml:space="preserve">Status note: this section summarises the engagement as a whole. Sections 1-5 are complete. Section 6 now has real Sprint 1 evidence, closed with two stories Done, one carried forward. Sections 7 and 8 remain pending further real sprint output. I've updated the deliverables table below to reflect that partial progress rather than a flat pending status.</w:t>
      </w:r>
    </w:p>
    <w:p>
      <w:pPr>
        <w:pStyle w:val="Heading1"/>
        <w:spacing w:after="200" w:before="400"/>
      </w:pPr>
      <w:r>
        <w:t xml:space="preserve">9.1 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c>
          <w:tcPr>
            <w:tcW w:type="dxa" w:w="6500"/>
            <w:shd w:fill="0E7C7B" w:val="clear"/>
          </w:tcPr>
          <w:p>
            <w:r>
              <w:rPr>
                <w:b/>
                <w:bCs/>
                <w:color w:val="FFFFFF"/>
                <w:sz w:val="20"/>
                <w:szCs w:val="20"/>
              </w:rPr>
              <w:t xml:space="preserve">Deliverable</w:t>
            </w:r>
          </w:p>
        </w:tc>
        <w:tc>
          <w:tcPr>
            <w:tcW w:type="dxa" w:w="2500"/>
            <w:shd w:fill="0E7C7B" w:val="clear"/>
          </w:tcPr>
          <w:p>
            <w:r>
              <w:rPr>
                <w:b/>
                <w:bCs/>
                <w:color w:val="FFFFFF"/>
                <w:sz w:val="20"/>
                <w:szCs w:val="20"/>
              </w:rPr>
              <w:t xml:space="preserve">Status</w:t>
            </w:r>
          </w:p>
        </w:tc>
      </w:tr>
      <w:tr>
        <w:tc>
          <w:tcPr>
            <w:tcW w:type="dxa" w:w="6500"/>
          </w:tcPr>
          <w:p>
            <w:r>
              <w:rPr>
                <w:b w:val="false"/>
                <w:bCs w:val="false"/>
                <w:color w:val="000000"/>
                <w:sz w:val="20"/>
                <w:szCs w:val="20"/>
              </w:rPr>
              <w:t xml:space="preserve">Stakeholder Register, RACI, Communication Plan, Governance (Section 1)</w:t>
            </w:r>
          </w:p>
        </w:tc>
        <w:tc>
          <w:tcPr>
            <w:tcW w:type="dxa" w:w="2500"/>
          </w:tcPr>
          <w:p>
            <w:r>
              <w:rPr>
                <w:b w:val="false"/>
                <w:bCs w:val="false"/>
                <w:color w:val="000000"/>
                <w:sz w:val="20"/>
                <w:szCs w:val="20"/>
              </w:rPr>
              <w:t xml:space="preserve">Complete</w:t>
            </w:r>
          </w:p>
        </w:tc>
      </w:tr>
      <w:tr>
        <w:tc>
          <w:tcPr>
            <w:tcW w:type="dxa" w:w="6500"/>
          </w:tcPr>
          <w:p>
            <w:r>
              <w:rPr>
                <w:b w:val="false"/>
                <w:bCs w:val="false"/>
                <w:color w:val="000000"/>
                <w:sz w:val="20"/>
                <w:szCs w:val="20"/>
              </w:rPr>
              <w:t xml:space="preserve">Root-cause analysis, business objectives, requirements baseline (Section 2)</w:t>
            </w:r>
          </w:p>
        </w:tc>
        <w:tc>
          <w:tcPr>
            <w:tcW w:type="dxa" w:w="2500"/>
          </w:tcPr>
          <w:p>
            <w:r>
              <w:rPr>
                <w:b w:val="false"/>
                <w:bCs w:val="false"/>
                <w:color w:val="000000"/>
                <w:sz w:val="20"/>
                <w:szCs w:val="20"/>
              </w:rPr>
              <w:t xml:space="preserve">Complete</w:t>
            </w:r>
          </w:p>
        </w:tc>
      </w:tr>
      <w:tr>
        <w:tc>
          <w:tcPr>
            <w:tcW w:type="dxa" w:w="6500"/>
          </w:tcPr>
          <w:p>
            <w:r>
              <w:rPr>
                <w:b w:val="false"/>
                <w:bCs w:val="false"/>
                <w:color w:val="000000"/>
                <w:sz w:val="20"/>
                <w:szCs w:val="20"/>
              </w:rPr>
              <w:t xml:space="preserve">Requirements catalogue, prioritisation, traceability (Section 3)</w:t>
            </w:r>
          </w:p>
        </w:tc>
        <w:tc>
          <w:tcPr>
            <w:tcW w:type="dxa" w:w="2500"/>
          </w:tcPr>
          <w:p>
            <w:r>
              <w:rPr>
                <w:b w:val="false"/>
                <w:bCs w:val="false"/>
                <w:color w:val="000000"/>
                <w:sz w:val="20"/>
                <w:szCs w:val="20"/>
              </w:rPr>
              <w:t xml:space="preserve">Complete</w:t>
            </w:r>
          </w:p>
        </w:tc>
      </w:tr>
      <w:tr>
        <w:tc>
          <w:tcPr>
            <w:tcW w:type="dxa" w:w="6500"/>
          </w:tcPr>
          <w:p>
            <w:r>
              <w:rPr>
                <w:b w:val="false"/>
                <w:bCs w:val="false"/>
                <w:color w:val="000000"/>
                <w:sz w:val="20"/>
                <w:szCs w:val="20"/>
              </w:rPr>
              <w:t xml:space="preserve">Product strategy, MVP definition, Epic and Feature Catalogue (Section 4)</w:t>
            </w:r>
          </w:p>
        </w:tc>
        <w:tc>
          <w:tcPr>
            <w:tcW w:type="dxa" w:w="2500"/>
          </w:tcPr>
          <w:p>
            <w:r>
              <w:rPr>
                <w:b w:val="false"/>
                <w:bCs w:val="false"/>
                <w:color w:val="000000"/>
                <w:sz w:val="20"/>
                <w:szCs w:val="20"/>
              </w:rPr>
              <w:t xml:space="preserve">Complete</w:t>
            </w:r>
          </w:p>
        </w:tc>
      </w:tr>
      <w:tr>
        <w:tc>
          <w:tcPr>
            <w:tcW w:type="dxa" w:w="6500"/>
          </w:tcPr>
          <w:p>
            <w:r>
              <w:rPr>
                <w:b w:val="false"/>
                <w:bCs w:val="false"/>
                <w:color w:val="000000"/>
                <w:sz w:val="20"/>
                <w:szCs w:val="20"/>
              </w:rPr>
              <w:t xml:space="preserve">Story-level backlog, dependency mapping (Section 5)</w:t>
            </w:r>
          </w:p>
        </w:tc>
        <w:tc>
          <w:tcPr>
            <w:tcW w:type="dxa" w:w="2500"/>
          </w:tcPr>
          <w:p>
            <w:r>
              <w:rPr>
                <w:b w:val="false"/>
                <w:bCs w:val="false"/>
                <w:color w:val="000000"/>
                <w:sz w:val="20"/>
                <w:szCs w:val="20"/>
              </w:rPr>
              <w:t xml:space="preserve">Complete</w:t>
            </w:r>
          </w:p>
        </w:tc>
      </w:tr>
      <w:tr>
        <w:tc>
          <w:tcPr>
            <w:tcW w:type="dxa" w:w="6500"/>
          </w:tcPr>
          <w:p>
            <w:r>
              <w:rPr>
                <w:b w:val="false"/>
                <w:bCs w:val="false"/>
                <w:color w:val="000000"/>
                <w:sz w:val="20"/>
                <w:szCs w:val="20"/>
              </w:rPr>
              <w:t xml:space="preserve">Sprint delivery (Section 6)</w:t>
            </w:r>
          </w:p>
        </w:tc>
        <w:tc>
          <w:tcPr>
            <w:tcW w:type="dxa" w:w="2500"/>
          </w:tcPr>
          <w:p>
            <w:r>
              <w:rPr>
                <w:b w:val="false"/>
                <w:bCs w:val="false"/>
                <w:color w:val="000000"/>
                <w:sz w:val="20"/>
                <w:szCs w:val="20"/>
              </w:rPr>
              <w:t xml:space="preserve">Sprint 1 closed, Sprint 2 in progress</w:t>
            </w:r>
          </w:p>
        </w:tc>
      </w:tr>
      <w:tr>
        <w:tc>
          <w:tcPr>
            <w:tcW w:type="dxa" w:w="6500"/>
          </w:tcPr>
          <w:p>
            <w:r>
              <w:rPr>
                <w:b w:val="false"/>
                <w:bCs w:val="false"/>
                <w:color w:val="000000"/>
                <w:sz w:val="20"/>
                <w:szCs w:val="20"/>
              </w:rPr>
              <w:t xml:space="preserve">Business validation (Section 7)</w:t>
            </w:r>
          </w:p>
        </w:tc>
        <w:tc>
          <w:tcPr>
            <w:tcW w:type="dxa" w:w="2500"/>
          </w:tcPr>
          <w:p>
            <w:r>
              <w:rPr>
                <w:b w:val="false"/>
                <w:bCs w:val="false"/>
                <w:color w:val="000000"/>
                <w:sz w:val="20"/>
                <w:szCs w:val="20"/>
              </w:rPr>
              <w:t xml:space="preserve">Partially started, Sprint 1 stories under acceptance review</w:t>
            </w:r>
          </w:p>
        </w:tc>
      </w:tr>
      <w:tr>
        <w:tc>
          <w:tcPr>
            <w:tcW w:type="dxa" w:w="6500"/>
          </w:tcPr>
          <w:p>
            <w:r>
              <w:rPr>
                <w:b w:val="false"/>
                <w:bCs w:val="false"/>
                <w:color w:val="000000"/>
                <w:sz w:val="20"/>
                <w:szCs w:val="20"/>
              </w:rPr>
              <w:t xml:space="preserve">Release and benefits realisation (Section 8)</w:t>
            </w:r>
          </w:p>
        </w:tc>
        <w:tc>
          <w:tcPr>
            <w:tcW w:type="dxa" w:w="2500"/>
          </w:tcPr>
          <w:p>
            <w:r>
              <w:rPr>
                <w:b w:val="false"/>
                <w:bCs w:val="false"/>
                <w:color w:val="000000"/>
                <w:sz w:val="20"/>
                <w:szCs w:val="20"/>
              </w:rPr>
              <w:t xml:space="preserve">Pending Section 7</w:t>
            </w:r>
          </w:p>
        </w:tc>
      </w:tr>
    </w:tbl>
    <w:p>
      <w:pPr>
        <w:pStyle w:val="Heading1"/>
        <w:spacing w:after="200" w:before="400"/>
      </w:pPr>
      <w:r>
        <w:t xml:space="preserve">9.2 Achievements</w:t>
      </w:r>
    </w:p>
    <w:p>
      <w:pPr>
        <w:spacing w:after="160"/>
      </w:pPr>
      <w:r>
        <w:t xml:space="preserve">I built a complete, traceable line from GreenSphere's three originally stated problems through to a sequenced, dependency-mapped backlog ready for sprint execution. Every requirement, epic, feature, and story carries an ID that traces backward to a business objective and forward into Jira, this golden thread is the primary achievement of the foundational phase, not any single document in isolation.</w:t>
      </w:r>
    </w:p>
    <w:p>
      <w:pPr>
        <w:pStyle w:val="Heading1"/>
        <w:spacing w:after="200" w:before="400"/>
      </w:pPr>
      <w:r>
        <w:t xml:space="preserve">9.3 Expected Business Outcomes</w:t>
      </w:r>
    </w:p>
    <w:p>
      <w:pPr>
        <w:spacing w:after="160"/>
      </w:pPr>
      <w:r>
        <w:t xml:space="preserve">Carried forward from Section 4.3: gardeners defaulting to EcoGrow's Plant Library, repeat Community Forum engagement, planting-to-harvest completion, and a reliable usage data baseline supporting BO-04. These remain expected outcomes, not yet measured outcomes, until Section 8's benefits monitoring reports real data.</w:t>
      </w:r>
    </w:p>
    <w:p>
      <w:pPr>
        <w:pStyle w:val="Heading1"/>
        <w:spacing w:after="200" w:before="400"/>
      </w:pPr>
      <w:r>
        <w:t xml:space="preserve">9.4 Recommendations</w:t>
      </w:r>
    </w:p>
    <w:p>
      <w:pPr>
        <w:spacing w:after="160"/>
      </w:pPr>
      <w:r>
        <w:t xml:space="preserve">Three things I'd flag before this engagement moves further into delivery:</w:t>
      </w:r>
    </w:p>
    <w:p>
      <w:pPr>
        <w:pStyle w:val="ListParagraph"/>
        <w:numPr>
          <w:ilvl w:val="0"/>
          <w:numId w:val="1"/>
        </w:numPr>
        <w:spacing w:after="80"/>
      </w:pPr>
      <w:r>
        <w:t xml:space="preserve">Confirm real Sprint 1 dates with the delivery team before backlog refinement locks in Section 5.9, since the 6-week minimum for three sprints needs to be reflected in the engagement's actual delivery calendar.</w:t>
      </w:r>
    </w:p>
    <w:p>
      <w:pPr>
        <w:pStyle w:val="ListParagraph"/>
        <w:numPr>
          <w:ilvl w:val="0"/>
          <w:numId w:val="1"/>
        </w:numPr>
        <w:spacing w:after="80"/>
      </w:pPr>
      <w:r>
        <w:t xml:space="preserve">Resolve the deferred Community Forum response feature's Phase 2 timing once real Sprint 3 usage patterns are available, rather than defaulting to the original Section 4.7 roadmap without revisiting it.</w:t>
      </w:r>
    </w:p>
    <w:p>
      <w:pPr>
        <w:pStyle w:val="ListParagraph"/>
        <w:numPr>
          <w:ilvl w:val="0"/>
          <w:numId w:val="1"/>
        </w:numPr>
        <w:spacing w:after="80"/>
      </w:pPr>
      <w:r>
        <w:t xml:space="preserve">Confirm real KPI targets for the Section 4.4 success measures with the Product Sponsor persona before the Section 8 dashboard reports its first live figures, so 'success' has an agreed definition before data exists to argue about it.</w:t>
      </w:r>
    </w:p>
    <w:p>
      <w:pPr>
        <w:pStyle w:val="Heading1"/>
        <w:spacing w:after="200" w:before="400"/>
      </w:pPr>
      <w:r>
        <w:t xml:space="preserve">9.5 Future Roadmap</w:t>
      </w:r>
    </w:p>
    <w:p>
      <w:pPr>
        <w:spacing w:after="160"/>
      </w:pPr>
      <w:r>
        <w:t xml:space="preserve">Carried forward from Section 4.7: Phase 2 (Community Forum response and deeper engagement) and Phase 3 (visual progress timeline), both to be re-prioritised against real MVP usage data per Section 7.8, not executed on the original assumption alone.</w:t>
      </w:r>
    </w:p>
    <w:p>
      <w:pPr>
        <w:pStyle w:val="Heading1"/>
        <w:spacing w:after="200" w:before="400"/>
      </w:pPr>
      <w:r>
        <w:t xml:space="preserve">9.6 Benefits Measurement</w:t>
      </w:r>
    </w:p>
    <w:p>
      <w:pPr>
        <w:spacing w:after="160"/>
      </w:pPr>
      <w:r>
        <w:t xml:space="preserve">Formal benefits measurement begins in Section 8.7 once EcoGrow is live. This section will be updated with actual figures against each business objective once that data exists, it does not restate projected figures as if they were results.</w:t>
      </w:r>
    </w:p>
    <w:p>
      <w:pPr>
        <w:pStyle w:val="Heading1"/>
        <w:spacing w:after="200" w:before="400"/>
      </w:pPr>
      <w:r>
        <w:t xml:space="preserve">9.7 Executive Close</w:t>
      </w:r>
    </w:p>
    <w:p>
      <w:pPr>
        <w:spacing w:after="160"/>
      </w:pPr>
      <w:r>
        <w:t xml:space="preserve">I took GreenSphere from a brief that specified delivery mechanics without delivery governance, to a fully governed, traceable path from business problem to a ready-to-execute backlog. The foundational phase (Sections 1 through 5) is complete. Sprint 1 is real, closed, and evidenced, not just planned. The remaining delivery phase is structured and will complete in real time as EcoGrow moves through its remaining sprints toward release.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2026-08-21T01:15:35.061Z</dcterms:created>
  <dcterms:modified xsi:type="dcterms:W3CDTF">2026-08-21T01:15:35.061Z</dcterms:modified>
</cp:coreProperties>
</file>

<file path=docProps/custom.xml><?xml version="1.0" encoding="utf-8"?>
<Properties xmlns="http://schemas.openxmlformats.org/officeDocument/2006/custom-properties" xmlns:vt="http://schemas.openxmlformats.org/officeDocument/2006/docPropsVTypes"/>
</file>