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EcoGrow</w:t>
      </w:r>
    </w:p>
    <w:p>
      <w:pPr>
        <w:spacing w:after="100"/>
      </w:pPr>
      <w:r>
        <w:t>Confluence, Miro, Lucidchart &amp; Power BI, Build Specification</w:t>
      </w:r>
    </w:p>
    <w:p>
      <w:pPr>
        <w:spacing w:after="200"/>
      </w:pPr>
      <w:r>
        <w:t>Prepared by Doris Frank, Business Analyst</w:t>
      </w:r>
    </w:p>
    <w:p>
      <w:pPr>
        <w:spacing w:after="200"/>
      </w:pPr>
      <w:r>
        <w:t>Every page, board, and diagram below pulls from content already locked in Sections 1-9 or the Jira spec. Nothing here is new content, it's a configuration guide for where existing content goes in each tool.</w:t>
      </w:r>
    </w:p>
    <w:p>
      <w:pPr>
        <w:pStyle w:val="Heading1"/>
        <w:spacing w:after="200" w:before="400"/>
      </w:pPr>
      <w:r>
        <w:t>PART 1: CONFLUENCE</w:t>
      </w:r>
    </w:p>
    <w:p>
      <w:pPr>
        <w:spacing w:after="160"/>
      </w:pPr>
      <w:r>
        <w:t>I'm using Confluence for project knowledge and documentation, the durable written record of the engagement. It's not where collaborative thinking happens, that's Miro.</w:t>
      </w:r>
    </w:p>
    <w:p>
      <w:pPr>
        <w:pStyle w:val="Heading2"/>
        <w:spacing w:after="120" w:before="250"/>
      </w:pPr>
      <w:r>
        <w:t>Space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200"/>
      </w:tblGrid>
      <w:tr>
        <w:tc>
          <w:tcPr>
            <w:tcW w:type="dxa" w:w="2400"/>
            <w:shd w:fill="0E7C7B" w:val="clear"/>
          </w:tcPr>
          <w:p>
            <w:r>
              <w:t>Page</w:t>
            </w:r>
          </w:p>
        </w:tc>
        <w:tc>
          <w:tcPr>
            <w:tcW w:type="dxa" w:w="4400"/>
            <w:shd w:fill="0E7C7B" w:val="clear"/>
          </w:tcPr>
          <w:p>
            <w:r>
              <w:t>Content Source</w:t>
            </w:r>
          </w:p>
        </w:tc>
        <w:tc>
          <w:tcPr>
            <w:tcW w:type="dxa" w:w="2200"/>
            <w:shd w:fill="0E7C7B" w:val="clear"/>
          </w:tcPr>
          <w:p>
            <w:r>
              <w:t>Build Now / Pending</w:t>
            </w:r>
          </w:p>
        </w:tc>
      </w:tr>
      <w:tr>
        <w:tc>
          <w:tcPr>
            <w:tcW w:type="dxa" w:w="2400"/>
          </w:tcPr>
          <w:p>
            <w:r>
              <w:t>Project Home</w:t>
            </w:r>
          </w:p>
        </w:tc>
        <w:tc>
          <w:tcPr>
            <w:tcW w:type="dxa" w:w="4400"/>
          </w:tcPr>
          <w:p>
            <w:r>
              <w:t>Landing page, links to every page below plus the 9 report sections</w:t>
            </w:r>
          </w:p>
        </w:tc>
        <w:tc>
          <w:tcPr>
            <w:tcW w:type="dxa" w:w="2200"/>
          </w:tcPr>
          <w:p>
            <w:r>
              <w:t>Build now</w:t>
            </w:r>
          </w:p>
        </w:tc>
      </w:tr>
      <w:tr>
        <w:tc>
          <w:tcPr>
            <w:tcW w:type="dxa" w:w="2400"/>
          </w:tcPr>
          <w:p>
            <w:r>
              <w:t>Engagement Overview</w:t>
            </w:r>
          </w:p>
        </w:tc>
        <w:tc>
          <w:tcPr>
            <w:tcW w:type="dxa" w:w="4400"/>
          </w:tcPr>
          <w:p>
            <w:r>
              <w:t>Section 1.2, Engagement Mandate</w:t>
            </w:r>
          </w:p>
        </w:tc>
        <w:tc>
          <w:tcPr>
            <w:tcW w:type="dxa" w:w="2200"/>
          </w:tcPr>
          <w:p>
            <w:r>
              <w:t>Build now</w:t>
            </w:r>
          </w:p>
        </w:tc>
      </w:tr>
      <w:tr>
        <w:tc>
          <w:tcPr>
            <w:tcW w:type="dxa" w:w="2400"/>
          </w:tcPr>
          <w:p>
            <w:r>
              <w:t>Product Vision</w:t>
            </w:r>
          </w:p>
        </w:tc>
        <w:tc>
          <w:tcPr>
            <w:tcW w:type="dxa" w:w="4400"/>
          </w:tcPr>
          <w:p>
            <w:r>
              <w:t>Section 4.1</w:t>
            </w:r>
          </w:p>
        </w:tc>
        <w:tc>
          <w:tcPr>
            <w:tcW w:type="dxa" w:w="2200"/>
          </w:tcPr>
          <w:p>
            <w:r>
              <w:t>Build now</w:t>
            </w:r>
          </w:p>
        </w:tc>
      </w:tr>
      <w:tr>
        <w:tc>
          <w:tcPr>
            <w:tcW w:type="dxa" w:w="2400"/>
          </w:tcPr>
          <w:p>
            <w:r>
              <w:t>Business Objectives</w:t>
            </w:r>
          </w:p>
        </w:tc>
        <w:tc>
          <w:tcPr>
            <w:tcW w:type="dxa" w:w="4400"/>
          </w:tcPr>
          <w:p>
            <w:r>
              <w:t>Section 2.3 table (BO-01 to BO-04)</w:t>
            </w:r>
          </w:p>
        </w:tc>
        <w:tc>
          <w:tcPr>
            <w:tcW w:type="dxa" w:w="2200"/>
          </w:tcPr>
          <w:p>
            <w:r>
              <w:t>Build now</w:t>
            </w:r>
          </w:p>
        </w:tc>
      </w:tr>
      <w:tr>
        <w:tc>
          <w:tcPr>
            <w:tcW w:type="dxa" w:w="2400"/>
          </w:tcPr>
          <w:p>
            <w:r>
              <w:t>Stakeholder Management</w:t>
            </w:r>
          </w:p>
        </w:tc>
        <w:tc>
          <w:tcPr>
            <w:tcW w:type="dxa" w:w="4400"/>
          </w:tcPr>
          <w:p>
            <w:r>
              <w:t>Section 1.5-1.9, Stakeholder Register, Power-Interest, RACI, Communication Plan</w:t>
            </w:r>
          </w:p>
        </w:tc>
        <w:tc>
          <w:tcPr>
            <w:tcW w:type="dxa" w:w="2200"/>
          </w:tcPr>
          <w:p>
            <w:r>
              <w:t>Build now, link to Excel pack as source of truth</w:t>
            </w:r>
          </w:p>
        </w:tc>
      </w:tr>
      <w:tr>
        <w:tc>
          <w:tcPr>
            <w:tcW w:type="dxa" w:w="2400"/>
          </w:tcPr>
          <w:p>
            <w:r>
              <w:t>Requirements</w:t>
            </w:r>
          </w:p>
        </w:tc>
        <w:tc>
          <w:tcPr>
            <w:tcW w:type="dxa" w:w="4400"/>
          </w:tcPr>
          <w:p>
            <w:r>
              <w:t>Section 3, full requirements catalogue</w:t>
            </w:r>
          </w:p>
        </w:tc>
        <w:tc>
          <w:tcPr>
            <w:tcW w:type="dxa" w:w="2200"/>
          </w:tcPr>
          <w:p>
            <w:r>
              <w:t>Build now</w:t>
            </w:r>
          </w:p>
        </w:tc>
      </w:tr>
      <w:tr>
        <w:tc>
          <w:tcPr>
            <w:tcW w:type="dxa" w:w="2400"/>
          </w:tcPr>
          <w:p>
            <w:r>
              <w:t>Decision Register</w:t>
            </w:r>
          </w:p>
        </w:tc>
        <w:tc>
          <w:tcPr>
            <w:tcW w:type="dxa" w:w="4400"/>
          </w:tcPr>
          <w:p>
            <w:r>
              <w:t>Excel Decision Register sheet, embedded or linked</w:t>
            </w:r>
          </w:p>
        </w:tc>
        <w:tc>
          <w:tcPr>
            <w:tcW w:type="dxa" w:w="2200"/>
          </w:tcPr>
          <w:p>
            <w:r>
              <w:t>Build now with DEC-01/02, add rows live</w:t>
            </w:r>
          </w:p>
        </w:tc>
      </w:tr>
      <w:tr>
        <w:tc>
          <w:tcPr>
            <w:tcW w:type="dxa" w:w="2400"/>
          </w:tcPr>
          <w:p>
            <w:r>
              <w:t>RAID</w:t>
            </w:r>
          </w:p>
        </w:tc>
        <w:tc>
          <w:tcPr>
            <w:tcW w:type="dxa" w:w="4400"/>
          </w:tcPr>
          <w:p>
            <w:r>
              <w:t>Excel RAID Log sheet, embedded or linked</w:t>
            </w:r>
          </w:p>
        </w:tc>
        <w:tc>
          <w:tcPr>
            <w:tcW w:type="dxa" w:w="2200"/>
          </w:tcPr>
          <w:p>
            <w:r>
              <w:t>Build now with Section 6.7 risks, add live</w:t>
            </w:r>
          </w:p>
        </w:tc>
      </w:tr>
      <w:tr>
        <w:tc>
          <w:tcPr>
            <w:tcW w:type="dxa" w:w="2400"/>
          </w:tcPr>
          <w:p>
            <w:r>
              <w:t>Meeting Notes</w:t>
            </w:r>
          </w:p>
        </w:tc>
        <w:tc>
          <w:tcPr>
            <w:tcW w:type="dxa" w:w="4400"/>
          </w:tcPr>
          <w:p>
            <w:r>
              <w:t>New page per real meeting, dated</w:t>
            </w:r>
          </w:p>
        </w:tc>
        <w:tc>
          <w:tcPr>
            <w:tcW w:type="dxa" w:w="2200"/>
          </w:tcPr>
          <w:p>
            <w:r>
              <w:t>Create as real meetings happen</w:t>
            </w:r>
          </w:p>
        </w:tc>
      </w:tr>
      <w:tr>
        <w:tc>
          <w:tcPr>
            <w:tcW w:type="dxa" w:w="2400"/>
          </w:tcPr>
          <w:p>
            <w:r>
              <w:t>Release Documentation</w:t>
            </w:r>
          </w:p>
        </w:tc>
        <w:tc>
          <w:tcPr>
            <w:tcW w:type="dxa" w:w="4400"/>
          </w:tcPr>
          <w:p>
            <w:r>
              <w:t>Section 8, once release readiness is confirmed</w:t>
            </w:r>
          </w:p>
        </w:tc>
        <w:tc>
          <w:tcPr>
            <w:tcW w:type="dxa" w:w="2200"/>
          </w:tcPr>
          <w:p>
            <w:r>
              <w:t>Pending Section 8</w:t>
            </w:r>
          </w:p>
        </w:tc>
      </w:tr>
      <w:tr>
        <w:tc>
          <w:tcPr>
            <w:tcW w:type="dxa" w:w="2400"/>
          </w:tcPr>
          <w:p>
            <w:r>
              <w:t>Benefits Realisation</w:t>
            </w:r>
          </w:p>
        </w:tc>
        <w:tc>
          <w:tcPr>
            <w:tcW w:type="dxa" w:w="4400"/>
          </w:tcPr>
          <w:p>
            <w:r>
              <w:t>Section 8.7, Excel Benefits Register</w:t>
            </w:r>
          </w:p>
        </w:tc>
        <w:tc>
          <w:tcPr>
            <w:tcW w:type="dxa" w:w="2200"/>
          </w:tcPr>
          <w:p>
            <w:r>
              <w:t>Framework now, actuals pending operational data</w:t>
            </w:r>
          </w:p>
        </w:tc>
      </w:tr>
    </w:tbl>
    <w:p>
      <w:pPr>
        <w:spacing w:after="160"/>
      </w:pPr>
      <w:r>
        <w:t>I'm treating the Excel Governance Pack as the source of truth for any register that exists in both Excel and Confluence, Stakeholder Register, Decision Register, RAID Log, Benefits Register. Confluence embeds or links to Excel rather than maintaining a parallel copy, so the two never drift apart the way NovaMart's report and register briefly did.</w:t>
      </w:r>
    </w:p>
    <w:p>
      <w:pPr>
        <w:pStyle w:val="Heading1"/>
        <w:spacing w:after="200" w:before="400"/>
      </w:pPr>
      <w:r>
        <w:t>PART 2: MIRO</w:t>
      </w:r>
    </w:p>
    <w:p>
      <w:pPr>
        <w:spacing w:after="160"/>
      </w:pPr>
      <w:r>
        <w:t>I'm using Miro for collaborative discovery and product thinking. It's the one tool in the whole build that most depends on a real workshop actually happening, I don't want a Miro board built without a real session behind it, that's just a diagram wearing a workshop's clothes.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00"/>
      </w:tblGrid>
      <w:tr>
        <w:tc>
          <w:tcPr>
            <w:tcW w:type="dxa" w:w="2200"/>
            <w:shd w:fill="0E7C7B" w:val="clear"/>
          </w:tcPr>
          <w:p>
            <w:r>
              <w:t>Board</w:t>
            </w:r>
          </w:p>
        </w:tc>
        <w:tc>
          <w:tcPr>
            <w:tcW w:type="dxa" w:w="4200"/>
            <w:shd w:fill="0E7C7B" w:val="clear"/>
          </w:tcPr>
          <w:p>
            <w:r>
              <w:t>Content Source</w:t>
            </w:r>
          </w:p>
        </w:tc>
        <w:tc>
          <w:tcPr>
            <w:tcW w:type="dxa" w:w="2600"/>
            <w:shd w:fill="0E7C7B" w:val="clear"/>
          </w:tcPr>
          <w:p>
            <w:r>
              <w:t>Build Now / Pending</w:t>
            </w:r>
          </w:p>
        </w:tc>
      </w:tr>
      <w:tr>
        <w:tc>
          <w:tcPr>
            <w:tcW w:type="dxa" w:w="2200"/>
          </w:tcPr>
          <w:p>
            <w:r>
              <w:t>Discovery Workshop</w:t>
            </w:r>
          </w:p>
        </w:tc>
        <w:tc>
          <w:tcPr>
            <w:tcW w:type="dxa" w:w="4200"/>
          </w:tcPr>
          <w:p>
            <w:r>
              <w:t>Section 1.10, Discovery Questions, as the board's starting prompts</w:t>
            </w:r>
          </w:p>
        </w:tc>
        <w:tc>
          <w:tcPr>
            <w:tcW w:type="dxa" w:w="2600"/>
          </w:tcPr>
          <w:p>
            <w:r>
              <w:t>Build the board shell and starting prompts now, real stickies come from the real session</w:t>
            </w:r>
          </w:p>
        </w:tc>
      </w:tr>
      <w:tr>
        <w:tc>
          <w:tcPr>
            <w:tcW w:type="dxa" w:w="2200"/>
          </w:tcPr>
          <w:p>
            <w:r>
              <w:t>Stakeholder Mapping</w:t>
            </w:r>
          </w:p>
        </w:tc>
        <w:tc>
          <w:tcPr>
            <w:tcW w:type="dxa" w:w="4200"/>
          </w:tcPr>
          <w:p>
            <w:r>
              <w:t>Section 1.5-1.6, Stakeholder Register and Power-Interest grid</w:t>
            </w:r>
          </w:p>
        </w:tc>
        <w:tc>
          <w:tcPr>
            <w:tcW w:type="dxa" w:w="2600"/>
          </w:tcPr>
          <w:p>
            <w:r>
              <w:t>Build now, this one translates directly from existing content</w:t>
            </w:r>
          </w:p>
        </w:tc>
      </w:tr>
      <w:tr>
        <w:tc>
          <w:tcPr>
            <w:tcW w:type="dxa" w:w="2200"/>
          </w:tcPr>
          <w:p>
            <w:r>
              <w:t>User Journey</w:t>
            </w:r>
          </w:p>
        </w:tc>
        <w:tc>
          <w:tcPr>
            <w:tcW w:type="dxa" w:w="4200"/>
          </w:tcPr>
          <w:p>
            <w:r>
              <w:t>Section 5.8, Story Mapping (find, plant, share)</w:t>
            </w:r>
          </w:p>
        </w:tc>
        <w:tc>
          <w:tcPr>
            <w:tcW w:type="dxa" w:w="2600"/>
          </w:tcPr>
          <w:p>
            <w:r>
              <w:t>Build now as a starting structure</w:t>
            </w:r>
          </w:p>
        </w:tc>
      </w:tr>
      <w:tr>
        <w:tc>
          <w:tcPr>
            <w:tcW w:type="dxa" w:w="2200"/>
          </w:tcPr>
          <w:p>
            <w:r>
              <w:t>Impact Mapping</w:t>
            </w:r>
          </w:p>
        </w:tc>
        <w:tc>
          <w:tcPr>
            <w:tcW w:type="dxa" w:w="4200"/>
          </w:tcPr>
          <w:p>
            <w:r>
              <w:t>Section 2, root-cause chains as the map's starting branches</w:t>
            </w:r>
          </w:p>
        </w:tc>
        <w:tc>
          <w:tcPr>
            <w:tcW w:type="dxa" w:w="2600"/>
          </w:tcPr>
          <w:p>
            <w:r>
              <w:t>Build the branch structure now from Section 2.2</w:t>
            </w:r>
          </w:p>
        </w:tc>
      </w:tr>
      <w:tr>
        <w:tc>
          <w:tcPr>
            <w:tcW w:type="dxa" w:w="2200"/>
          </w:tcPr>
          <w:p>
            <w:r>
              <w:t>Story Map</w:t>
            </w:r>
          </w:p>
        </w:tc>
        <w:tc>
          <w:tcPr>
            <w:tcW w:type="dxa" w:w="4200"/>
          </w:tcPr>
          <w:p>
            <w:r>
              <w:t>Section 5.8, full backlog</w:t>
            </w:r>
          </w:p>
        </w:tc>
        <w:tc>
          <w:tcPr>
            <w:tcW w:type="dxa" w:w="2600"/>
          </w:tcPr>
          <w:p>
            <w:r>
              <w:t>Build now, this is a direct visual translation of Section 5</w:t>
            </w:r>
          </w:p>
        </w:tc>
      </w:tr>
      <w:tr>
        <w:tc>
          <w:tcPr>
            <w:tcW w:type="dxa" w:w="2200"/>
          </w:tcPr>
          <w:p>
            <w:r>
              <w:t>Feature Prioritisation</w:t>
            </w:r>
          </w:p>
        </w:tc>
        <w:tc>
          <w:tcPr>
            <w:tcW w:type="dxa" w:w="4200"/>
          </w:tcPr>
          <w:p>
            <w:r>
              <w:t>Section 4.6, Feature Value Assessment</w:t>
            </w:r>
          </w:p>
        </w:tc>
        <w:tc>
          <w:tcPr>
            <w:tcW w:type="dxa" w:w="2600"/>
          </w:tcPr>
          <w:p>
            <w:r>
              <w:t>Build now as a 2x2 value/complexity board using the table already in 4.6</w:t>
            </w:r>
          </w:p>
        </w:tc>
      </w:tr>
      <w:tr>
        <w:tc>
          <w:tcPr>
            <w:tcW w:type="dxa" w:w="2200"/>
          </w:tcPr>
          <w:p>
            <w:r>
              <w:t>Value Matrix Workshop</w:t>
            </w:r>
          </w:p>
        </w:tc>
        <w:tc>
          <w:tcPr>
            <w:tcW w:type="dxa" w:w="4200"/>
          </w:tcPr>
          <w:p>
            <w:r>
              <w:t>Section 4.6 combined with real stakeholder input</w:t>
            </w:r>
          </w:p>
        </w:tc>
        <w:tc>
          <w:tcPr>
            <w:tcW w:type="dxa" w:w="2600"/>
          </w:tcPr>
          <w:p>
            <w:r>
              <w:t>Build the matrix axes now, populate with real votes from a real session</w:t>
            </w:r>
          </w:p>
        </w:tc>
      </w:tr>
    </w:tbl>
    <w:p>
      <w:pPr>
        <w:spacing w:after="160"/>
      </w:pPr>
      <w:r>
        <w:t>Two boards, Stakeholder Mapping and Story Map, can be built essentially complete right now because they're direct visual translations of tables that already exist. The other five need a real session's input to be honest, build the board structure and starting prompts now, but don't pre-populate them with invented sticky notes.</w:t>
      </w:r>
    </w:p>
    <w:p>
      <w:pPr>
        <w:pStyle w:val="Heading1"/>
        <w:spacing w:after="200" w:before="400"/>
      </w:pPr>
      <w:r>
        <w:t>PART 3: LUCIDCHART</w:t>
      </w:r>
    </w:p>
    <w:p>
      <w:pPr>
        <w:spacing w:after="160"/>
      </w:pPr>
      <w:r>
        <w:t>Purpose: formal visual modelling. Every diagram below can be built now, since each is a direct translation of already-locked content, not dependent on real workshop input the way most of Miro 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0E7C7B" w:val="clear"/>
          </w:tcPr>
          <w:p>
            <w:r>
              <w:t>Diagram</w:t>
            </w:r>
          </w:p>
        </w:tc>
        <w:tc>
          <w:tcPr>
            <w:tcW w:type="dxa" w:w="6600"/>
            <w:shd w:fill="0E7C7B" w:val="clear"/>
          </w:tcPr>
          <w:p>
            <w:r>
              <w:t>Content Source</w:t>
            </w:r>
          </w:p>
        </w:tc>
      </w:tr>
      <w:tr>
        <w:tc>
          <w:tcPr>
            <w:tcW w:type="dxa" w:w="2400"/>
          </w:tcPr>
          <w:p>
            <w:r>
              <w:t>Current-State Process</w:t>
            </w:r>
          </w:p>
        </w:tc>
        <w:tc>
          <w:tcPr>
            <w:tcW w:type="dxa" w:w="6600"/>
          </w:tcPr>
          <w:p>
            <w:r>
              <w:t>Section 2.4, Current-State Analysis, gardener assembling their own toolkit across disconnected tools</w:t>
            </w:r>
          </w:p>
        </w:tc>
      </w:tr>
      <w:tr>
        <w:tc>
          <w:tcPr>
            <w:tcW w:type="dxa" w:w="2400"/>
          </w:tcPr>
          <w:p>
            <w:r>
              <w:t>Future-State Process</w:t>
            </w:r>
          </w:p>
        </w:tc>
        <w:tc>
          <w:tcPr>
            <w:tcW w:type="dxa" w:w="6600"/>
          </w:tcPr>
          <w:p>
            <w:r>
              <w:t>Section 2.5, Future-State Direction, the three capabilities working as one system</w:t>
            </w:r>
          </w:p>
        </w:tc>
      </w:tr>
      <w:tr>
        <w:tc>
          <w:tcPr>
            <w:tcW w:type="dxa" w:w="2400"/>
          </w:tcPr>
          <w:p>
            <w:r>
              <w:t>Swimlane</w:t>
            </w:r>
          </w:p>
        </w:tc>
        <w:tc>
          <w:tcPr>
            <w:tcW w:type="dxa" w:w="6600"/>
          </w:tcPr>
          <w:p>
            <w:r>
              <w:t>Section 1.7 RACI, converted into a swimlane per persona across the key activities</w:t>
            </w:r>
          </w:p>
        </w:tc>
      </w:tr>
      <w:tr>
        <w:tc>
          <w:tcPr>
            <w:tcW w:type="dxa" w:w="2400"/>
          </w:tcPr>
          <w:p>
            <w:r>
              <w:t>User Flow</w:t>
            </w:r>
          </w:p>
        </w:tc>
        <w:tc>
          <w:tcPr>
            <w:tcW w:type="dxa" w:w="6600"/>
          </w:tcPr>
          <w:p>
            <w:r>
              <w:t>Section 5.8 Story Map, the find-plant-share sequence as an actual user flow diagram</w:t>
            </w:r>
          </w:p>
        </w:tc>
      </w:tr>
      <w:tr>
        <w:tc>
          <w:tcPr>
            <w:tcW w:type="dxa" w:w="2400"/>
          </w:tcPr>
          <w:p>
            <w:r>
              <w:t>System Context</w:t>
            </w:r>
          </w:p>
        </w:tc>
        <w:tc>
          <w:tcPr>
            <w:tcW w:type="dxa" w:w="6600"/>
          </w:tcPr>
          <w:p>
            <w:r>
              <w:t>Section 4.9-4.10, the four Epics and their Features as system boundaries and interactions</w:t>
            </w:r>
          </w:p>
        </w:tc>
      </w:tr>
    </w:tbl>
    <w:p>
      <w:pPr>
        <w:spacing w:after="160"/>
      </w:pPr>
      <w:r>
        <w:t>I can build any of these five as actual SVG diagrams directly if you want a starting visual rather than just this written spec, say which one and I'll produce it.</w:t>
      </w:r>
    </w:p>
    <w:p>
      <w:pPr>
        <w:pStyle w:val="Heading1"/>
        <w:spacing w:after="200" w:before="400"/>
      </w:pPr>
      <w:r>
        <w:t>PART 4: POWER BI</w:t>
      </w:r>
    </w:p>
    <w:p>
      <w:pPr>
        <w:spacing w:after="160"/>
      </w:pPr>
      <w:r>
        <w:t>I'm using Power BI as the executive reporting layer. I'm carrying forward a locked rule from the original build rules: this dashboard never shows live business results before EcoGrow is operational.</w:t>
      </w:r>
    </w:p>
    <w:p>
      <w:pPr>
        <w:pStyle w:val="Heading2"/>
        <w:spacing w:after="120" w:before="250"/>
      </w:pPr>
      <w:r>
        <w:t>Pre-Operational State, build this first</w:t>
      </w:r>
    </w:p>
    <w:p>
      <w:pPr>
        <w:spacing w:after="160"/>
      </w:pPr>
      <w:r>
        <w:t>Shows the measurement framework itself, what will be tracked, against what target, with no live numbers. Pages to build now:</w:t>
      </w:r>
    </w:p>
    <w:p>
      <w:pPr>
        <w:pStyle w:val="ListParagraph"/>
        <w:numPr>
          <w:ilvl w:val="0"/>
          <w:numId w:val="1"/>
        </w:numPr>
        <w:spacing w:after="80"/>
      </w:pPr>
      <w:r>
        <w:t>Success Measures Overview: the four BO-01 to BO-04 rows from Section 4.4, as a static reference page, not a chart with data</w:t>
      </w:r>
    </w:p>
    <w:p>
      <w:pPr>
        <w:pStyle w:val="ListParagraph"/>
        <w:numPr>
          <w:ilvl w:val="0"/>
          <w:numId w:val="1"/>
        </w:numPr>
        <w:spacing w:after="80"/>
      </w:pPr>
      <w:r>
        <w:t>Benefits Tracking Framework: the Section 8.7 table structure, empty, ready to receive real figures</w:t>
      </w:r>
    </w:p>
    <w:p>
      <w:pPr>
        <w:pStyle w:val="ListParagraph"/>
        <w:numPr>
          <w:ilvl w:val="0"/>
          <w:numId w:val="1"/>
        </w:numPr>
        <w:spacing w:after="80"/>
      </w:pPr>
      <w:r>
        <w:t>Delivery Reporting (from Jira): this half CAN go live immediately once Jira exists, since Jira-derived reporting doesn't wait for EcoGrow to be operational, it reports on the engagement's own delivery, not the product's usage</w:t>
      </w:r>
    </w:p>
    <w:p>
      <w:pPr>
        <w:pStyle w:val="Heading2"/>
        <w:spacing w:after="120" w:before="250"/>
      </w:pPr>
      <w:r>
        <w:t>Post-Operational State, build once real usage data exists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0E7C7B" w:val="clear"/>
          </w:tcPr>
          <w:p>
            <w:r>
              <w:t>Page</w:t>
            </w:r>
          </w:p>
        </w:tc>
        <w:tc>
          <w:tcPr>
            <w:tcW w:type="dxa" w:w="6400"/>
            <w:shd w:fill="0E7C7B" w:val="clear"/>
          </w:tcPr>
          <w:p>
            <w:r>
              <w:t>Metric Source</w:t>
            </w:r>
          </w:p>
        </w:tc>
      </w:tr>
      <w:tr>
        <w:tc>
          <w:tcPr>
            <w:tcW w:type="dxa" w:w="2600"/>
          </w:tcPr>
          <w:p>
            <w:r>
              <w:t>Product Adoption</w:t>
            </w:r>
          </w:p>
        </w:tc>
        <w:tc>
          <w:tcPr>
            <w:tcW w:type="dxa" w:w="6400"/>
          </w:tcPr>
          <w:p>
            <w:r>
              <w:t>Usage events, Section 4.4 success measures</w:t>
            </w:r>
          </w:p>
        </w:tc>
      </w:tr>
      <w:tr>
        <w:tc>
          <w:tcPr>
            <w:tcW w:type="dxa" w:w="2600"/>
          </w:tcPr>
          <w:p>
            <w:r>
              <w:t>Weekly Active Users</w:t>
            </w:r>
          </w:p>
        </w:tc>
        <w:tc>
          <w:tcPr>
            <w:tcW w:type="dxa" w:w="6400"/>
          </w:tcPr>
          <w:p>
            <w:r>
              <w:t>Usage events (US-06 / FR-08)</w:t>
            </w:r>
          </w:p>
        </w:tc>
      </w:tr>
      <w:tr>
        <w:tc>
          <w:tcPr>
            <w:tcW w:type="dxa" w:w="2600"/>
          </w:tcPr>
          <w:p>
            <w:r>
              <w:t>Feature Usage</w:t>
            </w:r>
          </w:p>
        </w:tc>
        <w:tc>
          <w:tcPr>
            <w:tcW w:type="dxa" w:w="6400"/>
          </w:tcPr>
          <w:p>
            <w:r>
              <w:t>Usage events, broken down by Epic</w:t>
            </w:r>
          </w:p>
        </w:tc>
      </w:tr>
      <w:tr>
        <w:tc>
          <w:tcPr>
            <w:tcW w:type="dxa" w:w="2600"/>
          </w:tcPr>
          <w:p>
            <w:r>
              <w:t>Customer Satisfaction</w:t>
            </w:r>
          </w:p>
        </w:tc>
        <w:tc>
          <w:tcPr>
            <w:tcW w:type="dxa" w:w="6400"/>
          </w:tcPr>
          <w:p>
            <w:r>
              <w:t>US-07 / FR-09, single-tap rating captured after a harvest is logged, extends the FR-08 usage-event stream</w:t>
            </w:r>
          </w:p>
        </w:tc>
      </w:tr>
      <w:tr>
        <w:tc>
          <w:tcPr>
            <w:tcW w:type="dxa" w:w="2600"/>
          </w:tcPr>
          <w:p>
            <w:r>
              <w:t>Retention</w:t>
            </w:r>
          </w:p>
        </w:tc>
        <w:tc>
          <w:tcPr>
            <w:tcW w:type="dxa" w:w="6400"/>
          </w:tcPr>
          <w:p>
            <w:r>
              <w:t>Usage events over time</w:t>
            </w:r>
          </w:p>
        </w:tc>
      </w:tr>
      <w:tr>
        <w:tc>
          <w:tcPr>
            <w:tcW w:type="dxa" w:w="2600"/>
          </w:tcPr>
          <w:p>
            <w:r>
              <w:t>Benefits Achievement</w:t>
            </w:r>
          </w:p>
        </w:tc>
        <w:tc>
          <w:tcPr>
            <w:tcW w:type="dxa" w:w="6400"/>
          </w:tcPr>
          <w:p>
            <w:r>
              <w:t>Section 8.7 Benefits Register, live figures replacing the pending placeholders</w:t>
            </w:r>
          </w:p>
        </w:tc>
      </w:tr>
      <w:tr>
        <w:tc>
          <w:tcPr>
            <w:tcW w:type="dxa" w:w="2600"/>
          </w:tcPr>
          <w:p>
            <w:r>
              <w:t>Release Performance</w:t>
            </w:r>
          </w:p>
        </w:tc>
        <w:tc>
          <w:tcPr>
            <w:tcW w:type="dxa" w:w="6400"/>
          </w:tcPr>
          <w:p>
            <w:r>
              <w:t>Jira release data, Section 8</w:t>
            </w:r>
          </w:p>
        </w:tc>
      </w:tr>
    </w:tbl>
    <w:p>
      <w:pPr>
        <w:pStyle w:val="Heading2"/>
        <w:spacing w:after="120" w:before="250"/>
      </w:pPr>
      <w:r>
        <w:t>Delivery Reporting, from Jira, available once the Jira project exists</w:t>
      </w:r>
    </w:p>
    <w:p>
      <w:pPr>
        <w:pStyle w:val="ListParagraph"/>
        <w:numPr>
          <w:ilvl w:val="0"/>
          <w:numId w:val="1"/>
        </w:numPr>
        <w:spacing w:after="80"/>
      </w:pPr>
      <w:r>
        <w:t>Sprint Progress, pulled from the Jira board configured in the Jira spec</w:t>
      </w:r>
    </w:p>
    <w:p>
      <w:pPr>
        <w:pStyle w:val="ListParagraph"/>
        <w:numPr>
          <w:ilvl w:val="0"/>
          <w:numId w:val="1"/>
        </w:numPr>
        <w:spacing w:after="80"/>
      </w:pPr>
      <w:r>
        <w:t>Velocity, meaningful from Sprint 2 onward per Section 6.6</w:t>
      </w:r>
    </w:p>
    <w:p>
      <w:pPr>
        <w:pStyle w:val="ListParagraph"/>
        <w:numPr>
          <w:ilvl w:val="0"/>
          <w:numId w:val="1"/>
        </w:numPr>
        <w:spacing w:after="80"/>
      </w:pPr>
      <w:r>
        <w:t>Burndown, per sprint, from Section 6.5</w:t>
      </w:r>
    </w:p>
    <w:p>
      <w:pPr>
        <w:pStyle w:val="ListParagraph"/>
        <w:numPr>
          <w:ilvl w:val="0"/>
          <w:numId w:val="1"/>
        </w:numPr>
        <w:spacing w:after="80"/>
      </w:pPr>
      <w:r>
        <w:t>Defects, once real Bugs are logged per the Jira spec Section 2</w:t>
      </w:r>
    </w:p>
    <w:p>
      <w:pPr>
        <w:pStyle w:val="ListParagraph"/>
        <w:numPr>
          <w:ilvl w:val="0"/>
          <w:numId w:val="1"/>
        </w:numPr>
        <w:spacing w:after="80"/>
      </w:pPr>
      <w:r>
        <w:t>Release Status, from the single MVP version defined in the Jira spec Section 11</w:t>
      </w:r>
    </w:p>
    <w:p>
      <w:pPr>
        <w:pStyle w:val="Heading1"/>
        <w:spacing w:after="200" w:before="400"/>
      </w:pPr>
      <w:r>
        <w:t>Resolved Item</w:t>
      </w:r>
    </w:p>
    <w:p>
      <w:pPr/>
      <w:r>
        <w:t>I scoped this to post-harvest only for MVP, deferring a Plant Library variant to Phase 2 to avoid expanding MVP surface area this late in planning. I reflected this addition in the RTM and Backlog Prioritisation sheets of the Excel Governance Pack.</w:t>
      </w:r>
    </w:p>
    <w:p>
      <w:pPr>
        <w:spacing w:after="160"/>
      </w:pPr>
      <w:r>
        <w:t>Customer Satisfaction previously had no defined collection mechanism in Sections 1-9. This was resolved by adding FR-09 (Section 3), FEAT-08 (Section 4), and US-07 (Section 5): a single-tap satisfaction rating captured after a harvest is logged, extending the existing FR-08 usage-event infrastructure rather than requiring a separate survey 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2026-08-15T12:46:33.803Z</dcterms:created>
  <dcterms:modified xsi:type="dcterms:W3CDTF">2026-08-15T12:46:33.804Z</dcterms:modified>
</cp:coreProperties>
</file>

<file path=docProps/custom.xml><?xml version="1.0" encoding="utf-8"?>
<Properties xmlns="http://schemas.openxmlformats.org/officeDocument/2006/custom-properties" xmlns:vt="http://schemas.openxmlformats.org/officeDocument/2006/docPropsVTypes"/>
</file>