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EcoGrow Future-State Discovery</w:t>
      </w:r>
    </w:p>
    <w:p>
      <w:pPr>
        <w:jc w:val="center"/>
      </w:pPr>
      <w:r>
        <w:rPr>
          <w:b/>
          <w:sz w:val="32"/>
        </w:rPr>
        <w:t>EPIC-F01 Smart Plant Care | Deep Discovery | Pass 2</w:t>
      </w:r>
    </w:p>
    <w:p>
      <w:pPr>
        <w:jc w:val="center"/>
      </w:pPr>
      <w:r>
        <w:rPr>
          <w:i/>
          <w:sz w:val="21"/>
        </w:rPr>
        <w:t>Prepared by Doris Frank, Business Analyst</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D9EAD3"/>
          </w:tcPr>
          <w:p>
            <w:pPr>
              <w:spacing w:after="0"/>
            </w:pPr>
            <w:r/>
            <w:r>
              <w:rPr>
                <w:b/>
              </w:rPr>
              <w:t>Control</w:t>
            </w:r>
          </w:p>
        </w:tc>
        <w:tc>
          <w:tcPr>
            <w:tcW w:type="dxa" w:w="8208"/>
            <w:vAlign w:val="center"/>
            <w:shd w:fill="D9EAD3"/>
          </w:tcPr>
          <w:p>
            <w:pPr>
              <w:spacing w:after="0"/>
            </w:pPr>
            <w:r/>
            <w:r>
              <w:rPr>
                <w:b/>
              </w:rPr>
              <w:t>Position</w:t>
            </w:r>
          </w:p>
        </w:tc>
      </w:tr>
      <w:tr>
        <w:trPr>
          <w:cantSplit/>
        </w:trPr>
        <w:tc>
          <w:tcPr>
            <w:tcW w:type="dxa" w:w="2592"/>
            <w:vAlign w:val="center"/>
          </w:tcPr>
          <w:p>
            <w:pPr>
              <w:spacing w:after="0"/>
            </w:pPr>
            <w:r/>
            <w:r>
              <w:rPr>
                <w:b w:val="0"/>
              </w:rPr>
              <w:t>Discovery status</w:t>
            </w:r>
          </w:p>
        </w:tc>
        <w:tc>
          <w:tcPr>
            <w:tcW w:type="dxa" w:w="8208"/>
            <w:vAlign w:val="center"/>
          </w:tcPr>
          <w:p>
            <w:pPr>
              <w:spacing w:after="0"/>
            </w:pPr>
            <w:r/>
            <w:r>
              <w:rPr>
                <w:b w:val="0"/>
              </w:rPr>
              <w:t>Future-state discovery only. Not an approved MVP change and not Jira delivery work.</w:t>
            </w:r>
          </w:p>
        </w:tc>
      </w:tr>
      <w:tr>
        <w:trPr>
          <w:cantSplit/>
        </w:trPr>
        <w:tc>
          <w:tcPr>
            <w:tcW w:type="dxa" w:w="2592"/>
            <w:vAlign w:val="center"/>
          </w:tcPr>
          <w:p>
            <w:pPr>
              <w:spacing w:after="0"/>
            </w:pPr>
            <w:r/>
            <w:r>
              <w:rPr>
                <w:b w:val="0"/>
              </w:rPr>
              <w:t>Epic</w:t>
            </w:r>
          </w:p>
        </w:tc>
        <w:tc>
          <w:tcPr>
            <w:tcW w:type="dxa" w:w="8208"/>
            <w:vAlign w:val="center"/>
          </w:tcPr>
          <w:p>
            <w:pPr>
              <w:spacing w:after="0"/>
            </w:pPr>
            <w:r/>
            <w:r>
              <w:rPr>
                <w:b w:val="0"/>
              </w:rPr>
              <w:t>EPIC-F01 Smart Plant Care</w:t>
            </w:r>
          </w:p>
        </w:tc>
      </w:tr>
      <w:tr>
        <w:trPr>
          <w:cantSplit/>
        </w:trPr>
        <w:tc>
          <w:tcPr>
            <w:tcW w:type="dxa" w:w="2592"/>
            <w:vAlign w:val="center"/>
          </w:tcPr>
          <w:p>
            <w:pPr>
              <w:spacing w:after="0"/>
            </w:pPr>
            <w:r/>
            <w:r>
              <w:rPr>
                <w:b w:val="0"/>
              </w:rPr>
              <w:t>Discovery stage</w:t>
            </w:r>
          </w:p>
        </w:tc>
        <w:tc>
          <w:tcPr>
            <w:tcW w:type="dxa" w:w="8208"/>
            <w:vAlign w:val="center"/>
          </w:tcPr>
          <w:p>
            <w:pPr>
              <w:spacing w:after="0"/>
            </w:pPr>
            <w:r/>
            <w:r>
              <w:rPr>
                <w:b w:val="0"/>
              </w:rPr>
              <w:t>Pass 2: Deep Discovery</w:t>
            </w:r>
          </w:p>
        </w:tc>
      </w:tr>
      <w:tr>
        <w:trPr>
          <w:cantSplit/>
        </w:trPr>
        <w:tc>
          <w:tcPr>
            <w:tcW w:type="dxa" w:w="2592"/>
            <w:vAlign w:val="center"/>
          </w:tcPr>
          <w:p>
            <w:pPr>
              <w:spacing w:after="0"/>
            </w:pPr>
            <w:r/>
            <w:r>
              <w:rPr>
                <w:b w:val="0"/>
              </w:rPr>
              <w:t>Candidate requirements</w:t>
            </w:r>
          </w:p>
        </w:tc>
        <w:tc>
          <w:tcPr>
            <w:tcW w:type="dxa" w:w="8208"/>
            <w:vAlign w:val="center"/>
          </w:tcPr>
          <w:p>
            <w:pPr>
              <w:spacing w:after="0"/>
            </w:pPr>
            <w:r/>
            <w:r>
              <w:rPr>
                <w:b w:val="0"/>
              </w:rPr>
              <w:t>FR-10 and FR-11</w:t>
            </w:r>
          </w:p>
        </w:tc>
      </w:tr>
      <w:tr>
        <w:trPr>
          <w:cantSplit/>
        </w:trPr>
        <w:tc>
          <w:tcPr>
            <w:tcW w:type="dxa" w:w="2592"/>
            <w:vAlign w:val="center"/>
          </w:tcPr>
          <w:p>
            <w:pPr>
              <w:spacing w:after="0"/>
            </w:pPr>
            <w:r/>
            <w:r>
              <w:rPr>
                <w:b w:val="0"/>
              </w:rPr>
              <w:t>Candidate story</w:t>
            </w:r>
          </w:p>
        </w:tc>
        <w:tc>
          <w:tcPr>
            <w:tcW w:type="dxa" w:w="8208"/>
            <w:vAlign w:val="center"/>
          </w:tcPr>
          <w:p>
            <w:pPr>
              <w:spacing w:after="0"/>
            </w:pPr>
            <w:r/>
            <w:r>
              <w:rPr>
                <w:b w:val="0"/>
              </w:rPr>
              <w:t>US-08</w:t>
            </w:r>
          </w:p>
        </w:tc>
      </w:tr>
      <w:tr>
        <w:trPr>
          <w:cantSplit/>
        </w:trPr>
        <w:tc>
          <w:tcPr>
            <w:tcW w:type="dxa" w:w="2592"/>
            <w:vAlign w:val="center"/>
          </w:tcPr>
          <w:p>
            <w:pPr>
              <w:spacing w:after="0"/>
            </w:pPr>
            <w:r/>
            <w:r>
              <w:rPr>
                <w:b w:val="0"/>
              </w:rPr>
              <w:t>Decision rule</w:t>
            </w:r>
          </w:p>
        </w:tc>
        <w:tc>
          <w:tcPr>
            <w:tcW w:type="dxa" w:w="8208"/>
            <w:vAlign w:val="center"/>
          </w:tcPr>
          <w:p>
            <w:pPr>
              <w:spacing w:after="0"/>
            </w:pPr>
            <w:r/>
            <w:r>
              <w:rPr>
                <w:b w:val="0"/>
              </w:rPr>
              <w:t>Advance only when user need, content authority, data, governance, acceptance logic, dependencies and value are sufficiently evidenced.</w:t>
            </w:r>
          </w:p>
        </w:tc>
      </w:tr>
    </w:tbl>
    <w:p/>
    <w:p>
      <w:pPr>
        <w:pStyle w:val="Heading1"/>
      </w:pPr>
      <w:r>
        <w:t>1. Discovery Purpose</w:t>
      </w:r>
    </w:p>
    <w:p>
      <w:r>
        <w:t>I am using EPIC-F01 to test the future-state discovery method on a tightly bounded capability before translating any future opportunity into Jira delivery work. The purpose of this pass is to move from a broad opportunity into a controlled discovery definition covering the user problem, value, features, candidate requirements, acceptance logic, data, content governance, non-functional considerations, dependencies and decision gates.</w:t>
      </w:r>
    </w:p>
    <w:p>
      <w:r>
        <w:t>This work does not amend the locked EcoGrow MVP. The current MVP remains Plant Library, Harvest Tracker, Community Forum posting and Usage Analytics, with Forum response and Visual Progress Timeline already recorded as deferred roadmap items. This document treats those deferred items as separate from EPIC-F01.</w:t>
      </w:r>
    </w:p>
    <w:p>
      <w:pPr>
        <w:pStyle w:val="Heading1"/>
      </w:pPr>
      <w:r>
        <w:t>2. Source Baseline and Scope Boundary</w:t>
      </w:r>
    </w:p>
    <w:tbl>
      <w:tblPr>
        <w:tblStyle w:val="TableGrid"/>
        <w:tblW w:type="auto" w:w="0"/>
        <w:jc w:val="center"/>
        <w:tblLook w:firstColumn="1" w:firstRow="1" w:lastColumn="0" w:lastRow="0" w:noHBand="0" w:noVBand="1" w:val="04A0"/>
      </w:tblPr>
      <w:tblGrid>
        <w:gridCol w:w="5112"/>
        <w:gridCol w:w="5112"/>
      </w:tblGrid>
      <w:tr>
        <w:trPr>
          <w:cantSplit/>
        </w:trPr>
        <w:tc>
          <w:tcPr>
            <w:tcW w:type="dxa" w:w="3312"/>
            <w:vAlign w:val="center"/>
            <w:shd w:fill="D9EAD3"/>
          </w:tcPr>
          <w:p>
            <w:pPr>
              <w:spacing w:after="0"/>
            </w:pPr>
            <w:r/>
            <w:r>
              <w:rPr>
                <w:b/>
              </w:rPr>
              <w:t>Item</w:t>
            </w:r>
          </w:p>
        </w:tc>
        <w:tc>
          <w:tcPr>
            <w:tcW w:type="dxa" w:w="7488"/>
            <w:vAlign w:val="center"/>
            <w:shd w:fill="D9EAD3"/>
          </w:tcPr>
          <w:p>
            <w:pPr>
              <w:spacing w:after="0"/>
            </w:pPr>
            <w:r/>
            <w:r>
              <w:rPr>
                <w:b/>
              </w:rPr>
              <w:t>Discovery position</w:t>
            </w:r>
          </w:p>
        </w:tc>
      </w:tr>
      <w:tr>
        <w:trPr>
          <w:cantSplit/>
        </w:trPr>
        <w:tc>
          <w:tcPr>
            <w:tcW w:type="dxa" w:w="3312"/>
            <w:vAlign w:val="center"/>
          </w:tcPr>
          <w:p>
            <w:pPr>
              <w:spacing w:after="0"/>
            </w:pPr>
            <w:r/>
            <w:r>
              <w:rPr>
                <w:b w:val="0"/>
              </w:rPr>
              <w:t>MVP baseline</w:t>
            </w:r>
          </w:p>
        </w:tc>
        <w:tc>
          <w:tcPr>
            <w:tcW w:type="dxa" w:w="7488"/>
            <w:vAlign w:val="center"/>
          </w:tcPr>
          <w:p>
            <w:pPr>
              <w:spacing w:after="0"/>
            </w:pPr>
            <w:r/>
            <w:r>
              <w:rPr>
                <w:b w:val="0"/>
              </w:rPr>
              <w:t>Plant Library, Harvest Tracker, Community Forum posting, Usage Analytics</w:t>
            </w:r>
          </w:p>
        </w:tc>
      </w:tr>
      <w:tr>
        <w:trPr>
          <w:cantSplit/>
        </w:trPr>
        <w:tc>
          <w:tcPr>
            <w:tcW w:type="dxa" w:w="3312"/>
            <w:vAlign w:val="center"/>
          </w:tcPr>
          <w:p>
            <w:pPr>
              <w:spacing w:after="0"/>
            </w:pPr>
            <w:r/>
            <w:r>
              <w:rPr>
                <w:b w:val="0"/>
              </w:rPr>
              <w:t>Deferred roadmap items</w:t>
            </w:r>
          </w:p>
        </w:tc>
        <w:tc>
          <w:tcPr>
            <w:tcW w:type="dxa" w:w="7488"/>
            <w:vAlign w:val="center"/>
          </w:tcPr>
          <w:p>
            <w:pPr>
              <w:spacing w:after="0"/>
            </w:pPr>
            <w:r/>
            <w:r>
              <w:rPr>
                <w:b w:val="0"/>
              </w:rPr>
              <w:t>Community Forum response; Visual Progress Timeline</w:t>
            </w:r>
          </w:p>
        </w:tc>
      </w:tr>
      <w:tr>
        <w:trPr>
          <w:cantSplit/>
        </w:trPr>
        <w:tc>
          <w:tcPr>
            <w:tcW w:type="dxa" w:w="3312"/>
            <w:vAlign w:val="center"/>
          </w:tcPr>
          <w:p>
            <w:pPr>
              <w:spacing w:after="0"/>
            </w:pPr>
            <w:r/>
            <w:r>
              <w:rPr>
                <w:b w:val="0"/>
              </w:rPr>
              <w:t>EPIC-F01 opportunity</w:t>
            </w:r>
          </w:p>
        </w:tc>
        <w:tc>
          <w:tcPr>
            <w:tcW w:type="dxa" w:w="7488"/>
            <w:vAlign w:val="center"/>
          </w:tcPr>
          <w:p>
            <w:pPr>
              <w:spacing w:after="0"/>
            </w:pPr>
            <w:r/>
            <w:r>
              <w:rPr>
                <w:b w:val="0"/>
              </w:rPr>
              <w:t>Move from static plant information toward plant-specific care guidance</w:t>
            </w:r>
          </w:p>
        </w:tc>
      </w:tr>
      <w:tr>
        <w:trPr>
          <w:cantSplit/>
        </w:trPr>
        <w:tc>
          <w:tcPr>
            <w:tcW w:type="dxa" w:w="3312"/>
            <w:vAlign w:val="center"/>
          </w:tcPr>
          <w:p>
            <w:pPr>
              <w:spacing w:after="0"/>
            </w:pPr>
            <w:r/>
            <w:r>
              <w:rPr>
                <w:b w:val="0"/>
              </w:rPr>
              <w:t>F01.1</w:t>
            </w:r>
          </w:p>
        </w:tc>
        <w:tc>
          <w:tcPr>
            <w:tcW w:type="dxa" w:w="7488"/>
            <w:vAlign w:val="center"/>
          </w:tcPr>
          <w:p>
            <w:pPr>
              <w:spacing w:after="0"/>
            </w:pPr>
            <w:r/>
            <w:r>
              <w:rPr>
                <w:b w:val="0"/>
              </w:rPr>
              <w:t>Plant-Specific Care Guidance</w:t>
            </w:r>
          </w:p>
        </w:tc>
      </w:tr>
      <w:tr>
        <w:trPr>
          <w:cantSplit/>
        </w:trPr>
        <w:tc>
          <w:tcPr>
            <w:tcW w:type="dxa" w:w="3312"/>
            <w:vAlign w:val="center"/>
          </w:tcPr>
          <w:p>
            <w:pPr>
              <w:spacing w:after="0"/>
            </w:pPr>
            <w:r/>
            <w:r>
              <w:rPr>
                <w:b w:val="0"/>
              </w:rPr>
              <w:t>F01.2</w:t>
            </w:r>
          </w:p>
        </w:tc>
        <w:tc>
          <w:tcPr>
            <w:tcW w:type="dxa" w:w="7488"/>
            <w:vAlign w:val="center"/>
          </w:tcPr>
          <w:p>
            <w:pPr>
              <w:spacing w:after="0"/>
            </w:pPr>
            <w:r/>
            <w:r>
              <w:rPr>
                <w:b w:val="0"/>
              </w:rPr>
              <w:t>Watering Guidance</w:t>
            </w:r>
          </w:p>
        </w:tc>
      </w:tr>
      <w:tr>
        <w:trPr>
          <w:cantSplit/>
        </w:trPr>
        <w:tc>
          <w:tcPr>
            <w:tcW w:type="dxa" w:w="3312"/>
            <w:vAlign w:val="center"/>
          </w:tcPr>
          <w:p>
            <w:pPr>
              <w:spacing w:after="0"/>
            </w:pPr>
            <w:r/>
            <w:r>
              <w:rPr>
                <w:b w:val="0"/>
              </w:rPr>
              <w:t>Explicitly deferred</w:t>
            </w:r>
          </w:p>
        </w:tc>
        <w:tc>
          <w:tcPr>
            <w:tcW w:type="dxa" w:w="7488"/>
            <w:vAlign w:val="center"/>
          </w:tcPr>
          <w:p>
            <w:pPr>
              <w:spacing w:after="0"/>
            </w:pPr>
            <w:r/>
            <w:r>
              <w:rPr>
                <w:b w:val="0"/>
              </w:rPr>
              <w:t>Weather-aware context. Weather integration, forecast context, severe-weather alerts and protective actions belong to EPIC-F02.</w:t>
            </w:r>
          </w:p>
        </w:tc>
      </w:tr>
      <w:tr>
        <w:trPr>
          <w:cantSplit/>
        </w:trPr>
        <w:tc>
          <w:tcPr>
            <w:tcW w:type="dxa" w:w="3312"/>
            <w:vAlign w:val="center"/>
          </w:tcPr>
          <w:p>
            <w:pPr>
              <w:spacing w:after="0"/>
            </w:pPr>
            <w:r/>
            <w:r>
              <w:rPr>
                <w:b w:val="0"/>
              </w:rPr>
              <w:t>Cross-cutting dependency</w:t>
            </w:r>
          </w:p>
        </w:tc>
        <w:tc>
          <w:tcPr>
            <w:tcW w:type="dxa" w:w="7488"/>
            <w:vAlign w:val="center"/>
          </w:tcPr>
          <w:p>
            <w:pPr>
              <w:spacing w:after="0"/>
            </w:pPr>
            <w:r/>
            <w:r>
              <w:rPr>
                <w:b w:val="0"/>
              </w:rPr>
              <w:t>Location may become relevant to later context-aware care and personalisation, but it is not being created as a standalone EPIC-F01 scope item.</w:t>
            </w:r>
          </w:p>
        </w:tc>
      </w:tr>
      <w:tr>
        <w:trPr>
          <w:cantSplit/>
        </w:trPr>
        <w:tc>
          <w:tcPr>
            <w:tcW w:type="dxa" w:w="3312"/>
            <w:vAlign w:val="center"/>
          </w:tcPr>
          <w:p>
            <w:pPr>
              <w:spacing w:after="0"/>
            </w:pPr>
            <w:r/>
            <w:r>
              <w:rPr>
                <w:b w:val="0"/>
              </w:rPr>
              <w:t>Out of current F01 discovery</w:t>
            </w:r>
          </w:p>
        </w:tc>
        <w:tc>
          <w:tcPr>
            <w:tcW w:type="dxa" w:w="7488"/>
            <w:vAlign w:val="center"/>
          </w:tcPr>
          <w:p>
            <w:pPr>
              <w:spacing w:after="0"/>
            </w:pPr>
            <w:r/>
            <w:r>
              <w:rPr>
                <w:b w:val="0"/>
              </w:rPr>
              <w:t>Pest identification, treatment, plant-protection and chemical/pesticide guidance. These sit under EPIC-F03 and require stronger governance.</w:t>
            </w:r>
          </w:p>
        </w:tc>
      </w:tr>
    </w:tbl>
    <w:p/>
    <w:p>
      <w:r>
        <w:t>The baseline specifically identifies watering guidance as the first deep-dive and notes that generic schedules can be misleading when soil, container, climate, rainfall and plant maturity differ. This is why F01 is being framed as guidance with conditions and limitations rather than a simplistic fixed watering rule.</w:t>
      </w:r>
    </w:p>
    <w:p>
      <w:pPr>
        <w:pStyle w:val="Heading1"/>
      </w:pPr>
      <w:r>
        <w:t>3. Opportunity Definition</w:t>
      </w:r>
    </w:p>
    <w:p>
      <w:r>
        <w:t>Current experience: Plant Library helps a gardener find plant-care information. Future opportunity: make that information more relevant to the plant the gardener is caring for and, where justified by evidence, explain what the gardener should consider when deciding how to care for it.</w:t>
      </w:r>
    </w:p>
    <w:tbl>
      <w:tblPr>
        <w:tblStyle w:val="TableGrid"/>
        <w:tblW w:type="auto" w:w="0"/>
        <w:jc w:val="center"/>
        <w:tblLook w:firstColumn="1" w:firstRow="1" w:lastColumn="0" w:lastRow="0" w:noHBand="0" w:noVBand="1" w:val="04A0"/>
      </w:tblPr>
      <w:tblGrid>
        <w:gridCol w:w="5112"/>
        <w:gridCol w:w="5112"/>
      </w:tblGrid>
      <w:tr>
        <w:trPr>
          <w:cantSplit/>
        </w:trPr>
        <w:tc>
          <w:tcPr>
            <w:tcW w:type="dxa" w:w="3024"/>
            <w:vAlign w:val="center"/>
            <w:shd w:fill="D9EAD3"/>
          </w:tcPr>
          <w:p>
            <w:pPr>
              <w:spacing w:after="0"/>
            </w:pPr>
            <w:r/>
            <w:r>
              <w:rPr>
                <w:b/>
              </w:rPr>
              <w:t>Element</w:t>
            </w:r>
          </w:p>
        </w:tc>
        <w:tc>
          <w:tcPr>
            <w:tcW w:type="dxa" w:w="7776"/>
            <w:vAlign w:val="center"/>
            <w:shd w:fill="D9EAD3"/>
          </w:tcPr>
          <w:p>
            <w:pPr>
              <w:spacing w:after="0"/>
            </w:pPr>
            <w:r/>
            <w:r>
              <w:rPr>
                <w:b/>
              </w:rPr>
              <w:t>Discovery definition</w:t>
            </w:r>
          </w:p>
        </w:tc>
      </w:tr>
      <w:tr>
        <w:trPr>
          <w:cantSplit/>
        </w:trPr>
        <w:tc>
          <w:tcPr>
            <w:tcW w:type="dxa" w:w="3024"/>
            <w:vAlign w:val="center"/>
          </w:tcPr>
          <w:p>
            <w:pPr>
              <w:spacing w:after="0"/>
            </w:pPr>
            <w:r/>
            <w:r>
              <w:rPr>
                <w:b w:val="0"/>
              </w:rPr>
              <w:t>User problem</w:t>
            </w:r>
          </w:p>
        </w:tc>
        <w:tc>
          <w:tcPr>
            <w:tcW w:type="dxa" w:w="7776"/>
            <w:vAlign w:val="center"/>
          </w:tcPr>
          <w:p>
            <w:pPr>
              <w:spacing w:after="0"/>
            </w:pPr>
            <w:r/>
            <w:r>
              <w:rPr>
                <w:b w:val="0"/>
              </w:rPr>
              <w:t>Gardeners may have plant information but still need to interpret that information into a practical care decision.</w:t>
            </w:r>
          </w:p>
        </w:tc>
      </w:tr>
      <w:tr>
        <w:trPr>
          <w:cantSplit/>
        </w:trPr>
        <w:tc>
          <w:tcPr>
            <w:tcW w:type="dxa" w:w="3024"/>
            <w:vAlign w:val="center"/>
          </w:tcPr>
          <w:p>
            <w:pPr>
              <w:spacing w:after="0"/>
            </w:pPr>
            <w:r/>
            <w:r>
              <w:rPr>
                <w:b w:val="0"/>
              </w:rPr>
              <w:t>Opportunity statement</w:t>
            </w:r>
          </w:p>
        </w:tc>
        <w:tc>
          <w:tcPr>
            <w:tcW w:type="dxa" w:w="7776"/>
            <w:vAlign w:val="center"/>
          </w:tcPr>
          <w:p>
            <w:pPr>
              <w:spacing w:after="0"/>
            </w:pPr>
            <w:r/>
            <w:r>
              <w:rPr>
                <w:b w:val="0"/>
              </w:rPr>
              <w:t>Move from “Here is information about your plant” toward “Here is what your plant may need right now,” while avoiding unsupported certainty.</w:t>
            </w:r>
          </w:p>
        </w:tc>
      </w:tr>
      <w:tr>
        <w:trPr>
          <w:cantSplit/>
        </w:trPr>
        <w:tc>
          <w:tcPr>
            <w:tcW w:type="dxa" w:w="3024"/>
            <w:vAlign w:val="center"/>
          </w:tcPr>
          <w:p>
            <w:pPr>
              <w:spacing w:after="0"/>
            </w:pPr>
            <w:r/>
            <w:r>
              <w:rPr>
                <w:b w:val="0"/>
              </w:rPr>
              <w:t>User value hypothesis</w:t>
            </w:r>
          </w:p>
        </w:tc>
        <w:tc>
          <w:tcPr>
            <w:tcW w:type="dxa" w:w="7776"/>
            <w:vAlign w:val="center"/>
          </w:tcPr>
          <w:p>
            <w:pPr>
              <w:spacing w:after="0"/>
            </w:pPr>
            <w:r/>
            <w:r>
              <w:rPr>
                <w:b w:val="0"/>
              </w:rPr>
              <w:t>Plant-specific guidance may reduce guesswork and make care decisions easier to understand and act on.</w:t>
            </w:r>
          </w:p>
        </w:tc>
      </w:tr>
      <w:tr>
        <w:trPr>
          <w:cantSplit/>
        </w:trPr>
        <w:tc>
          <w:tcPr>
            <w:tcW w:type="dxa" w:w="3024"/>
            <w:vAlign w:val="center"/>
          </w:tcPr>
          <w:p>
            <w:pPr>
              <w:spacing w:after="0"/>
            </w:pPr>
            <w:r/>
            <w:r>
              <w:rPr>
                <w:b w:val="0"/>
              </w:rPr>
              <w:t>Business value hypothesis</w:t>
            </w:r>
          </w:p>
        </w:tc>
        <w:tc>
          <w:tcPr>
            <w:tcW w:type="dxa" w:w="7776"/>
            <w:vAlign w:val="center"/>
          </w:tcPr>
          <w:p>
            <w:pPr>
              <w:spacing w:after="0"/>
            </w:pPr>
            <w:r/>
            <w:r>
              <w:rPr>
                <w:b w:val="0"/>
              </w:rPr>
              <w:t>More useful Plant Library interactions may strengthen the usefulness and retention value of EcoGrow, but no benefit is treated as proven until usage evidence exists.</w:t>
            </w:r>
          </w:p>
        </w:tc>
      </w:tr>
      <w:tr>
        <w:trPr>
          <w:cantSplit/>
        </w:trPr>
        <w:tc>
          <w:tcPr>
            <w:tcW w:type="dxa" w:w="3024"/>
            <w:vAlign w:val="center"/>
          </w:tcPr>
          <w:p>
            <w:pPr>
              <w:spacing w:after="0"/>
            </w:pPr>
            <w:r/>
            <w:r>
              <w:rPr>
                <w:b w:val="0"/>
              </w:rPr>
              <w:t>Key constraint</w:t>
            </w:r>
          </w:p>
        </w:tc>
        <w:tc>
          <w:tcPr>
            <w:tcW w:type="dxa" w:w="7776"/>
            <w:vAlign w:val="center"/>
          </w:tcPr>
          <w:p>
            <w:pPr>
              <w:spacing w:after="0"/>
            </w:pPr>
            <w:r/>
            <w:r>
              <w:rPr>
                <w:b w:val="0"/>
              </w:rPr>
              <w:t>Care guidance must distinguish evidence-based guidance from assumptions and must communicate relevant limitations or uncertainty.</w:t>
            </w:r>
          </w:p>
        </w:tc>
      </w:tr>
    </w:tbl>
    <w:p/>
    <w:p>
      <w:pPr>
        <w:pStyle w:val="Heading1"/>
      </w:pPr>
      <w:r>
        <w:t>4. User and Stakeholder Discovery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024"/>
            <w:vAlign w:val="center"/>
            <w:shd w:fill="D9EAD3"/>
          </w:tcPr>
          <w:p>
            <w:pPr>
              <w:spacing w:after="0"/>
            </w:pPr>
            <w:r/>
            <w:r>
              <w:rPr>
                <w:b/>
              </w:rPr>
              <w:t>Role</w:t>
            </w:r>
          </w:p>
        </w:tc>
        <w:tc>
          <w:tcPr>
            <w:tcW w:type="dxa" w:w="5616"/>
            <w:vAlign w:val="center"/>
            <w:shd w:fill="D9EAD3"/>
          </w:tcPr>
          <w:p>
            <w:pPr>
              <w:spacing w:after="0"/>
            </w:pPr>
            <w:r/>
            <w:r>
              <w:rPr>
                <w:b/>
              </w:rPr>
              <w:t>Why relevant</w:t>
            </w:r>
          </w:p>
        </w:tc>
        <w:tc>
          <w:tcPr>
            <w:tcW w:type="dxa" w:w="2160"/>
            <w:vAlign w:val="center"/>
            <w:shd w:fill="D9EAD3"/>
          </w:tcPr>
          <w:p>
            <w:pPr>
              <w:spacing w:after="0"/>
            </w:pPr>
            <w:r/>
            <w:r>
              <w:rPr>
                <w:b/>
              </w:rPr>
              <w:t>Status</w:t>
            </w:r>
          </w:p>
        </w:tc>
      </w:tr>
      <w:tr>
        <w:trPr>
          <w:cantSplit/>
        </w:trPr>
        <w:tc>
          <w:tcPr>
            <w:tcW w:type="dxa" w:w="3024"/>
            <w:vAlign w:val="center"/>
          </w:tcPr>
          <w:p>
            <w:pPr>
              <w:spacing w:after="0"/>
            </w:pPr>
            <w:r/>
            <w:r>
              <w:rPr>
                <w:b w:val="0"/>
              </w:rPr>
              <w:t>Gardener</w:t>
            </w:r>
          </w:p>
        </w:tc>
        <w:tc>
          <w:tcPr>
            <w:tcW w:type="dxa" w:w="5616"/>
            <w:vAlign w:val="center"/>
          </w:tcPr>
          <w:p>
            <w:pPr>
              <w:spacing w:after="0"/>
            </w:pPr>
            <w:r/>
            <w:r>
              <w:rPr>
                <w:b w:val="0"/>
              </w:rPr>
              <w:t>Primary user who consumes plant-care and watering guidance.</w:t>
            </w:r>
          </w:p>
        </w:tc>
        <w:tc>
          <w:tcPr>
            <w:tcW w:type="dxa" w:w="2160"/>
            <w:vAlign w:val="center"/>
          </w:tcPr>
          <w:p>
            <w:pPr>
              <w:spacing w:after="0"/>
            </w:pPr>
            <w:r/>
            <w:r>
              <w:rPr>
                <w:b w:val="0"/>
              </w:rPr>
              <w:t>Confirmed capability basis</w:t>
            </w:r>
          </w:p>
        </w:tc>
      </w:tr>
      <w:tr>
        <w:trPr>
          <w:cantSplit/>
        </w:trPr>
        <w:tc>
          <w:tcPr>
            <w:tcW w:type="dxa" w:w="3024"/>
            <w:vAlign w:val="center"/>
          </w:tcPr>
          <w:p>
            <w:pPr>
              <w:spacing w:after="0"/>
            </w:pPr>
            <w:r/>
            <w:r>
              <w:rPr>
                <w:b w:val="0"/>
              </w:rPr>
              <w:t>Product Owner / GreenSphere decision authority</w:t>
            </w:r>
          </w:p>
        </w:tc>
        <w:tc>
          <w:tcPr>
            <w:tcW w:type="dxa" w:w="5616"/>
            <w:vAlign w:val="center"/>
          </w:tcPr>
          <w:p>
            <w:pPr>
              <w:spacing w:after="0"/>
            </w:pPr>
            <w:r/>
            <w:r>
              <w:rPr>
                <w:b w:val="0"/>
              </w:rPr>
              <w:t>Confirms whether the opportunity should progress and what value/priority threshold applies.</w:t>
            </w:r>
          </w:p>
        </w:tc>
        <w:tc>
          <w:tcPr>
            <w:tcW w:type="dxa" w:w="2160"/>
            <w:vAlign w:val="center"/>
          </w:tcPr>
          <w:p>
            <w:pPr>
              <w:spacing w:after="0"/>
            </w:pPr>
            <w:r/>
            <w:r>
              <w:rPr>
                <w:b w:val="0"/>
              </w:rPr>
              <w:t>Governance role, not yet a new stakeholder entry</w:t>
            </w:r>
          </w:p>
        </w:tc>
      </w:tr>
      <w:tr>
        <w:trPr>
          <w:cantSplit/>
        </w:trPr>
        <w:tc>
          <w:tcPr>
            <w:tcW w:type="dxa" w:w="3024"/>
            <w:vAlign w:val="center"/>
          </w:tcPr>
          <w:p>
            <w:pPr>
              <w:spacing w:after="0"/>
            </w:pPr>
            <w:r/>
            <w:r>
              <w:rPr>
                <w:b w:val="0"/>
              </w:rPr>
              <w:t>Plant Science / Horticulture SME</w:t>
            </w:r>
          </w:p>
        </w:tc>
        <w:tc>
          <w:tcPr>
            <w:tcW w:type="dxa" w:w="5616"/>
            <w:vAlign w:val="center"/>
          </w:tcPr>
          <w:p>
            <w:pPr>
              <w:spacing w:after="0"/>
            </w:pPr>
            <w:r/>
            <w:r>
              <w:rPr>
                <w:b w:val="0"/>
              </w:rPr>
              <w:t>Potential content authority for plant-care, watering, seasonal and plant-specific guidance if the capability is formally taken forward.</w:t>
            </w:r>
          </w:p>
        </w:tc>
        <w:tc>
          <w:tcPr>
            <w:tcW w:type="dxa" w:w="2160"/>
            <w:vAlign w:val="center"/>
          </w:tcPr>
          <w:p>
            <w:pPr>
              <w:spacing w:after="0"/>
            </w:pPr>
            <w:r/>
            <w:r>
              <w:rPr>
                <w:b w:val="0"/>
              </w:rPr>
              <w:t>Justified future governance role, not yet added to MVP register</w:t>
            </w:r>
          </w:p>
        </w:tc>
      </w:tr>
      <w:tr>
        <w:trPr>
          <w:cantSplit/>
        </w:trPr>
        <w:tc>
          <w:tcPr>
            <w:tcW w:type="dxa" w:w="3024"/>
            <w:vAlign w:val="center"/>
          </w:tcPr>
          <w:p>
            <w:pPr>
              <w:spacing w:after="0"/>
            </w:pPr>
            <w:r/>
            <w:r>
              <w:rPr>
                <w:b w:val="0"/>
              </w:rPr>
              <w:t>Specialist Plant Protection / Pest Management expertise</w:t>
            </w:r>
          </w:p>
        </w:tc>
        <w:tc>
          <w:tcPr>
            <w:tcW w:type="dxa" w:w="5616"/>
            <w:vAlign w:val="center"/>
          </w:tcPr>
          <w:p>
            <w:pPr>
              <w:spacing w:after="0"/>
            </w:pPr>
            <w:r/>
            <w:r>
              <w:rPr>
                <w:b w:val="0"/>
              </w:rPr>
              <w:t>Only becomes relevant if F01 later expands into pest, treatment or chemical guidance.</w:t>
            </w:r>
          </w:p>
        </w:tc>
        <w:tc>
          <w:tcPr>
            <w:tcW w:type="dxa" w:w="2160"/>
            <w:vAlign w:val="center"/>
          </w:tcPr>
          <w:p>
            <w:pPr>
              <w:spacing w:after="0"/>
            </w:pPr>
            <w:r/>
            <w:r>
              <w:rPr>
                <w:b w:val="0"/>
              </w:rPr>
              <w:t>Outside current F01 boundary</w:t>
            </w:r>
          </w:p>
        </w:tc>
      </w:tr>
      <w:tr>
        <w:trPr>
          <w:cantSplit/>
        </w:trPr>
        <w:tc>
          <w:tcPr>
            <w:tcW w:type="dxa" w:w="3024"/>
            <w:vAlign w:val="center"/>
          </w:tcPr>
          <w:p>
            <w:pPr>
              <w:spacing w:after="0"/>
            </w:pPr>
            <w:r/>
            <w:r>
              <w:rPr>
                <w:b w:val="0"/>
              </w:rPr>
              <w:t>Engineering / Data / Platform roles</w:t>
            </w:r>
          </w:p>
        </w:tc>
        <w:tc>
          <w:tcPr>
            <w:tcW w:type="dxa" w:w="5616"/>
            <w:vAlign w:val="center"/>
          </w:tcPr>
          <w:p>
            <w:pPr>
              <w:spacing w:after="0"/>
            </w:pPr>
            <w:r/>
            <w:r>
              <w:rPr>
                <w:b w:val="0"/>
              </w:rPr>
              <w:t>Needed later to assess implementation, data model, integration and operational feasibility.</w:t>
            </w:r>
          </w:p>
        </w:tc>
        <w:tc>
          <w:tcPr>
            <w:tcW w:type="dxa" w:w="2160"/>
            <w:vAlign w:val="center"/>
          </w:tcPr>
          <w:p>
            <w:pPr>
              <w:spacing w:after="0"/>
            </w:pPr>
            <w:r/>
            <w:r>
              <w:rPr>
                <w:b w:val="0"/>
              </w:rPr>
              <w:t>Delivery dependency; exact ownership TBD</w:t>
            </w:r>
          </w:p>
        </w:tc>
      </w:tr>
    </w:tbl>
    <w:p/>
    <w:p>
      <w:r>
        <w:t>Important governance boundary: I am not adding future stakeholders merely because a framework suggests them. Any role must have a real capability or governance basis. The Plant Science / Horticulture SME is justified because the future capability would make content authority and validation materially important.</w:t>
      </w:r>
    </w:p>
    <w:p>
      <w:pPr>
        <w:pStyle w:val="Heading1"/>
      </w:pPr>
      <w:r>
        <w:t>5. Current-to-Future User Journey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440"/>
            <w:vAlign w:val="center"/>
            <w:shd w:fill="D9EAD3"/>
          </w:tcPr>
          <w:p>
            <w:pPr>
              <w:spacing w:after="0"/>
            </w:pPr>
            <w:r/>
            <w:r>
              <w:rPr>
                <w:b/>
              </w:rPr>
              <w:t>Stage</w:t>
            </w:r>
          </w:p>
        </w:tc>
        <w:tc>
          <w:tcPr>
            <w:tcW w:type="dxa" w:w="4608"/>
            <w:vAlign w:val="center"/>
            <w:shd w:fill="D9EAD3"/>
          </w:tcPr>
          <w:p>
            <w:pPr>
              <w:spacing w:after="0"/>
            </w:pPr>
            <w:r/>
            <w:r>
              <w:rPr>
                <w:b/>
              </w:rPr>
              <w:t>Current MVP pattern</w:t>
            </w:r>
          </w:p>
        </w:tc>
        <w:tc>
          <w:tcPr>
            <w:tcW w:type="dxa" w:w="4752"/>
            <w:vAlign w:val="center"/>
            <w:shd w:fill="D9EAD3"/>
          </w:tcPr>
          <w:p>
            <w:pPr>
              <w:spacing w:after="0"/>
            </w:pPr>
            <w:r/>
            <w:r>
              <w:rPr>
                <w:b/>
              </w:rPr>
              <w:t>Future-state discovery direction</w:t>
            </w:r>
          </w:p>
        </w:tc>
      </w:tr>
      <w:tr>
        <w:trPr>
          <w:cantSplit/>
        </w:trPr>
        <w:tc>
          <w:tcPr>
            <w:tcW w:type="dxa" w:w="1440"/>
            <w:vAlign w:val="center"/>
          </w:tcPr>
          <w:p>
            <w:pPr>
              <w:spacing w:after="0"/>
            </w:pPr>
            <w:r/>
            <w:r>
              <w:rPr>
                <w:b w:val="0"/>
              </w:rPr>
              <w:t>Find</w:t>
            </w:r>
          </w:p>
        </w:tc>
        <w:tc>
          <w:tcPr>
            <w:tcW w:type="dxa" w:w="4608"/>
            <w:vAlign w:val="center"/>
          </w:tcPr>
          <w:p>
            <w:pPr>
              <w:spacing w:after="0"/>
            </w:pPr>
            <w:r/>
            <w:r>
              <w:rPr>
                <w:b w:val="0"/>
              </w:rPr>
              <w:t>Search for a plant in the Plant Library.</w:t>
            </w:r>
          </w:p>
        </w:tc>
        <w:tc>
          <w:tcPr>
            <w:tcW w:type="dxa" w:w="4752"/>
            <w:vAlign w:val="center"/>
          </w:tcPr>
          <w:p>
            <w:pPr>
              <w:spacing w:after="0"/>
            </w:pPr>
            <w:r/>
            <w:r>
              <w:rPr>
                <w:b w:val="0"/>
              </w:rPr>
              <w:t>Select or identify the plant for which guidance is needed.</w:t>
            </w:r>
          </w:p>
        </w:tc>
      </w:tr>
      <w:tr>
        <w:trPr>
          <w:cantSplit/>
        </w:trPr>
        <w:tc>
          <w:tcPr>
            <w:tcW w:type="dxa" w:w="1440"/>
            <w:vAlign w:val="center"/>
          </w:tcPr>
          <w:p>
            <w:pPr>
              <w:spacing w:after="0"/>
            </w:pPr>
            <w:r/>
            <w:r>
              <w:rPr>
                <w:b w:val="0"/>
              </w:rPr>
              <w:t>Interpret</w:t>
            </w:r>
          </w:p>
        </w:tc>
        <w:tc>
          <w:tcPr>
            <w:tcW w:type="dxa" w:w="4608"/>
            <w:vAlign w:val="center"/>
          </w:tcPr>
          <w:p>
            <w:pPr>
              <w:spacing w:after="0"/>
            </w:pPr>
            <w:r/>
            <w:r>
              <w:rPr>
                <w:b w:val="0"/>
              </w:rPr>
              <w:t>Read static/general plant-care information.</w:t>
            </w:r>
          </w:p>
        </w:tc>
        <w:tc>
          <w:tcPr>
            <w:tcW w:type="dxa" w:w="4752"/>
            <w:vAlign w:val="center"/>
          </w:tcPr>
          <w:p>
            <w:pPr>
              <w:spacing w:after="0"/>
            </w:pPr>
            <w:r/>
            <w:r>
              <w:rPr>
                <w:b w:val="0"/>
              </w:rPr>
              <w:t>Receive plant-specific care guidance with clearly stated conditions and limitations.</w:t>
            </w:r>
          </w:p>
        </w:tc>
      </w:tr>
      <w:tr>
        <w:trPr>
          <w:cantSplit/>
        </w:trPr>
        <w:tc>
          <w:tcPr>
            <w:tcW w:type="dxa" w:w="1440"/>
            <w:vAlign w:val="center"/>
          </w:tcPr>
          <w:p>
            <w:pPr>
              <w:spacing w:after="0"/>
            </w:pPr>
            <w:r/>
            <w:r>
              <w:rPr>
                <w:b w:val="0"/>
              </w:rPr>
              <w:t>Decide</w:t>
            </w:r>
          </w:p>
        </w:tc>
        <w:tc>
          <w:tcPr>
            <w:tcW w:type="dxa" w:w="4608"/>
            <w:vAlign w:val="center"/>
          </w:tcPr>
          <w:p>
            <w:pPr>
              <w:spacing w:after="0"/>
            </w:pPr>
            <w:r/>
            <w:r>
              <w:rPr>
                <w:b w:val="0"/>
              </w:rPr>
              <w:t>Gardener interprets information independently.</w:t>
            </w:r>
          </w:p>
        </w:tc>
        <w:tc>
          <w:tcPr>
            <w:tcW w:type="dxa" w:w="4752"/>
            <w:vAlign w:val="center"/>
          </w:tcPr>
          <w:p>
            <w:pPr>
              <w:spacing w:after="0"/>
            </w:pPr>
            <w:r/>
            <w:r>
              <w:rPr>
                <w:b w:val="0"/>
              </w:rPr>
              <w:t>Gardener uses guidance to make a more informed care decision.</w:t>
            </w:r>
          </w:p>
        </w:tc>
      </w:tr>
      <w:tr>
        <w:trPr>
          <w:cantSplit/>
        </w:trPr>
        <w:tc>
          <w:tcPr>
            <w:tcW w:type="dxa" w:w="1440"/>
            <w:vAlign w:val="center"/>
          </w:tcPr>
          <w:p>
            <w:pPr>
              <w:spacing w:after="0"/>
            </w:pPr>
            <w:r/>
            <w:r>
              <w:rPr>
                <w:b w:val="0"/>
              </w:rPr>
              <w:t>Act</w:t>
            </w:r>
          </w:p>
        </w:tc>
        <w:tc>
          <w:tcPr>
            <w:tcW w:type="dxa" w:w="4608"/>
            <w:vAlign w:val="center"/>
          </w:tcPr>
          <w:p>
            <w:pPr>
              <w:spacing w:after="0"/>
            </w:pPr>
            <w:r/>
            <w:r>
              <w:rPr>
                <w:b w:val="0"/>
              </w:rPr>
              <w:t>Action is outside the current Plant Library scope.</w:t>
            </w:r>
          </w:p>
        </w:tc>
        <w:tc>
          <w:tcPr>
            <w:tcW w:type="dxa" w:w="4752"/>
            <w:vAlign w:val="center"/>
          </w:tcPr>
          <w:p>
            <w:pPr>
              <w:spacing w:after="0"/>
            </w:pPr>
            <w:r/>
            <w:r>
              <w:rPr>
                <w:b w:val="0"/>
              </w:rPr>
              <w:t>Watering guidance may help the gardener decide when/how to consider watering; reminders remain a future consideration, not a committed F01 requirement.</w:t>
            </w:r>
          </w:p>
        </w:tc>
      </w:tr>
      <w:tr>
        <w:trPr>
          <w:cantSplit/>
        </w:trPr>
        <w:tc>
          <w:tcPr>
            <w:tcW w:type="dxa" w:w="1440"/>
            <w:vAlign w:val="center"/>
          </w:tcPr>
          <w:p>
            <w:pPr>
              <w:spacing w:after="0"/>
            </w:pPr>
            <w:r/>
            <w:r>
              <w:rPr>
                <w:b w:val="0"/>
              </w:rPr>
              <w:t>Review</w:t>
            </w:r>
          </w:p>
        </w:tc>
        <w:tc>
          <w:tcPr>
            <w:tcW w:type="dxa" w:w="4608"/>
            <w:vAlign w:val="center"/>
          </w:tcPr>
          <w:p>
            <w:pPr>
              <w:spacing w:after="0"/>
            </w:pPr>
            <w:r/>
            <w:r>
              <w:rPr>
                <w:b w:val="0"/>
              </w:rPr>
              <w:t>No current contextual feedback loop is defined.</w:t>
            </w:r>
          </w:p>
        </w:tc>
        <w:tc>
          <w:tcPr>
            <w:tcW w:type="dxa" w:w="4752"/>
            <w:vAlign w:val="center"/>
          </w:tcPr>
          <w:p>
            <w:pPr>
              <w:spacing w:after="0"/>
            </w:pPr>
            <w:r/>
            <w:r>
              <w:rPr>
                <w:b w:val="0"/>
              </w:rPr>
              <w:t>Future discovery may assess whether guidance should be reviewed or updated as plant/context data changes.</w:t>
            </w:r>
          </w:p>
        </w:tc>
      </w:tr>
    </w:tbl>
    <w:p/>
    <w:p>
      <w:pPr>
        <w:pStyle w:val="Heading1"/>
      </w:pPr>
      <w:r>
        <w:t>6. Feature Discovery</w:t>
      </w:r>
    </w:p>
    <w:p>
      <w:pPr>
        <w:pStyle w:val="Heading2"/>
      </w:pPr>
      <w:r>
        <w:t>F01.1 Plant-Specific Care Guidance</w:t>
      </w:r>
    </w:p>
    <w:p>
      <w:r>
        <w:t>Discovery intent: explore how EcoGrow could provide care guidance relevant to a specific plant rather than relying only on generic information. The discovery question is whether the content can be structured, governed and presented in a way that is genuinely more useful than the current Plant Library experience.</w:t>
      </w:r>
    </w:p>
    <w:p>
      <w:pPr>
        <w:pStyle w:val="ListBullet"/>
      </w:pPr>
      <w:r>
        <w:t>Determine which plant attributes are needed to generate or retrieve appropriate care guidance.</w:t>
      </w:r>
    </w:p>
    <w:p>
      <w:pPr>
        <w:pStyle w:val="ListBullet"/>
      </w:pPr>
      <w:r>
        <w:t>Determine what guidance is evidence-based versus conditional or optional.</w:t>
      </w:r>
    </w:p>
    <w:p>
      <w:pPr>
        <w:pStyle w:val="ListBullet"/>
      </w:pPr>
      <w:r>
        <w:t>Determine who owns, validates, approves and retires plant-care content.</w:t>
      </w:r>
    </w:p>
    <w:p>
      <w:pPr>
        <w:pStyle w:val="ListBullet"/>
      </w:pPr>
      <w:r>
        <w:t>Determine how limitations and uncertainty are communicated to the gardener.</w:t>
      </w:r>
    </w:p>
    <w:p>
      <w:pPr>
        <w:pStyle w:val="Heading2"/>
      </w:pPr>
      <w:r>
        <w:t>F01.2 Watering Guidance</w:t>
      </w:r>
    </w:p>
    <w:p>
      <w:r>
        <w:t>Discovery intent: establish a credible first use case for Smart Plant Care. The source baseline identifies potential inputs such as plant type, soil/moisture conditions and seasonal adjustments, while also warning against simplistic fixed schedules.</w:t>
      </w:r>
    </w:p>
    <w:p>
      <w:pPr>
        <w:pStyle w:val="ListBullet"/>
      </w:pPr>
      <w:r>
        <w:t>Explore plant-specific watering frequency guidance.</w:t>
      </w:r>
    </w:p>
    <w:p>
      <w:pPr>
        <w:pStyle w:val="ListBullet"/>
      </w:pPr>
      <w:r>
        <w:t>Explore plant type and care characteristics relevant to watering decisions.</w:t>
      </w:r>
    </w:p>
    <w:p>
      <w:pPr>
        <w:pStyle w:val="ListBullet"/>
      </w:pPr>
      <w:r>
        <w:t>Explore soil/moisture considerations as a possible input or qualifier.</w:t>
      </w:r>
    </w:p>
    <w:p>
      <w:pPr>
        <w:pStyle w:val="ListBullet"/>
      </w:pPr>
      <w:r>
        <w:t>Explore seasonal adjustment logic without treating it as proven system behaviour.</w:t>
      </w:r>
    </w:p>
    <w:p>
      <w:pPr>
        <w:pStyle w:val="ListBullet"/>
      </w:pPr>
      <w:r>
        <w:t>Assess whether reminders belong in the first F01 increment or a later personalisation/reminder capability.</w:t>
      </w:r>
    </w:p>
    <w:p>
      <w:pPr>
        <w:pStyle w:val="ListBullet"/>
      </w:pPr>
      <w:r>
        <w:t>Define how the system should communicate when there is insufficient information for confident guidance.</w:t>
      </w:r>
    </w:p>
    <w:p>
      <w:pPr>
        <w:pStyle w:val="Heading1"/>
      </w:pPr>
      <w:r>
        <w:t>7. Candidate Future Requirements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152"/>
            <w:vAlign w:val="center"/>
            <w:shd w:fill="D9EAD3"/>
          </w:tcPr>
          <w:p>
            <w:pPr>
              <w:spacing w:after="0"/>
            </w:pPr>
            <w:r/>
            <w:r>
              <w:rPr>
                <w:b/>
              </w:rPr>
              <w:t>ID</w:t>
            </w:r>
          </w:p>
        </w:tc>
        <w:tc>
          <w:tcPr>
            <w:tcW w:type="dxa" w:w="6480"/>
            <w:vAlign w:val="center"/>
            <w:shd w:fill="D9EAD3"/>
          </w:tcPr>
          <w:p>
            <w:pPr>
              <w:spacing w:after="0"/>
            </w:pPr>
            <w:r/>
            <w:r>
              <w:rPr>
                <w:b/>
              </w:rPr>
              <w:t>Candidate requirement</w:t>
            </w:r>
          </w:p>
        </w:tc>
        <w:tc>
          <w:tcPr>
            <w:tcW w:type="dxa" w:w="1872"/>
            <w:vAlign w:val="center"/>
            <w:shd w:fill="D9EAD3"/>
          </w:tcPr>
          <w:p>
            <w:pPr>
              <w:spacing w:after="0"/>
            </w:pPr>
            <w:r/>
            <w:r>
              <w:rPr>
                <w:b/>
              </w:rPr>
              <w:t>Classification</w:t>
            </w:r>
          </w:p>
        </w:tc>
        <w:tc>
          <w:tcPr>
            <w:tcW w:type="dxa" w:w="1296"/>
            <w:vAlign w:val="center"/>
            <w:shd w:fill="D9EAD3"/>
          </w:tcPr>
          <w:p>
            <w:pPr>
              <w:spacing w:after="0"/>
            </w:pPr>
            <w:r/>
            <w:r>
              <w:rPr>
                <w:b/>
              </w:rPr>
              <w:t>Decision status</w:t>
            </w:r>
          </w:p>
        </w:tc>
      </w:tr>
      <w:tr>
        <w:trPr>
          <w:cantSplit/>
        </w:trPr>
        <w:tc>
          <w:tcPr>
            <w:tcW w:type="dxa" w:w="1152"/>
            <w:vAlign w:val="center"/>
          </w:tcPr>
          <w:p>
            <w:pPr>
              <w:spacing w:after="0"/>
            </w:pPr>
            <w:r/>
            <w:r>
              <w:rPr>
                <w:b w:val="0"/>
              </w:rPr>
              <w:t>FR-10</w:t>
            </w:r>
          </w:p>
        </w:tc>
        <w:tc>
          <w:tcPr>
            <w:tcW w:type="dxa" w:w="6480"/>
            <w:vAlign w:val="center"/>
          </w:tcPr>
          <w:p>
            <w:pPr>
              <w:spacing w:after="0"/>
            </w:pPr>
            <w:r/>
            <w:r>
              <w:rPr>
                <w:b w:val="0"/>
              </w:rPr>
              <w:t>EcoGrow shall provide plant-specific care guidance that enables gardeners to make more informed decisions about caring for their plants.</w:t>
            </w:r>
          </w:p>
        </w:tc>
        <w:tc>
          <w:tcPr>
            <w:tcW w:type="dxa" w:w="1872"/>
            <w:vAlign w:val="center"/>
          </w:tcPr>
          <w:p>
            <w:pPr>
              <w:spacing w:after="0"/>
            </w:pPr>
            <w:r/>
            <w:r>
              <w:rPr>
                <w:b w:val="0"/>
              </w:rPr>
              <w:t>Future requirement candidate</w:t>
            </w:r>
          </w:p>
        </w:tc>
        <w:tc>
          <w:tcPr>
            <w:tcW w:type="dxa" w:w="1296"/>
            <w:vAlign w:val="center"/>
          </w:tcPr>
          <w:p>
            <w:pPr>
              <w:spacing w:after="0"/>
            </w:pPr>
            <w:r/>
            <w:r>
              <w:rPr>
                <w:b w:val="0"/>
              </w:rPr>
              <w:t>Discovery only</w:t>
            </w:r>
          </w:p>
        </w:tc>
      </w:tr>
      <w:tr>
        <w:trPr>
          <w:cantSplit/>
        </w:trPr>
        <w:tc>
          <w:tcPr>
            <w:tcW w:type="dxa" w:w="1152"/>
            <w:vAlign w:val="center"/>
          </w:tcPr>
          <w:p>
            <w:pPr>
              <w:spacing w:after="0"/>
            </w:pPr>
            <w:r/>
            <w:r>
              <w:rPr>
                <w:b w:val="0"/>
              </w:rPr>
              <w:t>FR-11</w:t>
            </w:r>
          </w:p>
        </w:tc>
        <w:tc>
          <w:tcPr>
            <w:tcW w:type="dxa" w:w="6480"/>
            <w:vAlign w:val="center"/>
          </w:tcPr>
          <w:p>
            <w:pPr>
              <w:spacing w:after="0"/>
            </w:pPr>
            <w:r/>
            <w:r>
              <w:rPr>
                <w:b w:val="0"/>
              </w:rPr>
              <w:t>EcoGrow shall provide plant-specific watering guidance to help gardeners make informed watering decisions.</w:t>
            </w:r>
          </w:p>
        </w:tc>
        <w:tc>
          <w:tcPr>
            <w:tcW w:type="dxa" w:w="1872"/>
            <w:vAlign w:val="center"/>
          </w:tcPr>
          <w:p>
            <w:pPr>
              <w:spacing w:after="0"/>
            </w:pPr>
            <w:r/>
            <w:r>
              <w:rPr>
                <w:b w:val="0"/>
              </w:rPr>
              <w:t>Future requirement candidate</w:t>
            </w:r>
          </w:p>
        </w:tc>
        <w:tc>
          <w:tcPr>
            <w:tcW w:type="dxa" w:w="1296"/>
            <w:vAlign w:val="center"/>
          </w:tcPr>
          <w:p>
            <w:pPr>
              <w:spacing w:after="0"/>
            </w:pPr>
            <w:r/>
            <w:r>
              <w:rPr>
                <w:b w:val="0"/>
              </w:rPr>
              <w:t>Discovery only</w:t>
            </w:r>
          </w:p>
        </w:tc>
      </w:tr>
    </w:tbl>
    <w:p/>
    <w:p>
      <w:r>
        <w:t>FR-10 and FR-11 are carried forward from the Future-State Product Vision and Capability Map as candidates. They are not approved baseline requirements. Formalisation depends on the completion of the discovery and governance checks below.</w:t>
      </w:r>
    </w:p>
    <w:p>
      <w:pPr>
        <w:pStyle w:val="Heading1"/>
      </w:pPr>
      <w:r>
        <w:t>8. Candidate User Story and Acceptance Logic</w:t>
      </w:r>
    </w:p>
    <w:p>
      <w:r>
        <w:t>Candidate story:</w:t>
      </w:r>
    </w:p>
    <w:p>
      <w:r>
        <w:rPr>
          <w:b/>
        </w:rPr>
        <w:t>US-08: As a gardener, I want to view watering guidance for a plant so that I can make informed decisions about caring for it.</w:t>
      </w:r>
    </w:p>
    <w:p>
      <w:r>
        <w:t>Acceptance criteria are intentionally not frozen yet. The discovery pass must confirm the exact user need, authoritative content source, required inputs, applicable conditions and limitations, presentation rules and review expectations before criteria are promoted to delivery-ready form.</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D9EAD3"/>
          </w:tcPr>
          <w:p>
            <w:pPr>
              <w:spacing w:after="0"/>
            </w:pPr>
            <w:r/>
            <w:r>
              <w:rPr>
                <w:b/>
              </w:rPr>
              <w:t>Acceptance logic area</w:t>
            </w:r>
          </w:p>
        </w:tc>
        <w:tc>
          <w:tcPr>
            <w:tcW w:type="dxa" w:w="8208"/>
            <w:vAlign w:val="center"/>
            <w:shd w:fill="D9EAD3"/>
          </w:tcPr>
          <w:p>
            <w:pPr>
              <w:spacing w:after="0"/>
            </w:pPr>
            <w:r/>
            <w:r>
              <w:rPr>
                <w:b/>
              </w:rPr>
              <w:t>What must be confirmed</w:t>
            </w:r>
          </w:p>
        </w:tc>
      </w:tr>
      <w:tr>
        <w:trPr>
          <w:cantSplit/>
        </w:trPr>
        <w:tc>
          <w:tcPr>
            <w:tcW w:type="dxa" w:w="2592"/>
            <w:vAlign w:val="center"/>
          </w:tcPr>
          <w:p>
            <w:pPr>
              <w:spacing w:after="0"/>
            </w:pPr>
            <w:r/>
            <w:r>
              <w:rPr>
                <w:b w:val="0"/>
              </w:rPr>
              <w:t>Plant context</w:t>
            </w:r>
          </w:p>
        </w:tc>
        <w:tc>
          <w:tcPr>
            <w:tcW w:type="dxa" w:w="8208"/>
            <w:vAlign w:val="center"/>
          </w:tcPr>
          <w:p>
            <w:pPr>
              <w:spacing w:after="0"/>
            </w:pPr>
            <w:r/>
            <w:r>
              <w:rPr>
                <w:b w:val="0"/>
              </w:rPr>
              <w:t>How the selected plant is identified and how the guidance is tied to that plant.</w:t>
            </w:r>
          </w:p>
        </w:tc>
      </w:tr>
      <w:tr>
        <w:trPr>
          <w:cantSplit/>
        </w:trPr>
        <w:tc>
          <w:tcPr>
            <w:tcW w:type="dxa" w:w="2592"/>
            <w:vAlign w:val="center"/>
          </w:tcPr>
          <w:p>
            <w:pPr>
              <w:spacing w:after="0"/>
            </w:pPr>
            <w:r/>
            <w:r>
              <w:rPr>
                <w:b w:val="0"/>
              </w:rPr>
              <w:t>Guidance content</w:t>
            </w:r>
          </w:p>
        </w:tc>
        <w:tc>
          <w:tcPr>
            <w:tcW w:type="dxa" w:w="8208"/>
            <w:vAlign w:val="center"/>
          </w:tcPr>
          <w:p>
            <w:pPr>
              <w:spacing w:after="0"/>
            </w:pPr>
            <w:r/>
            <w:r>
              <w:rPr>
                <w:b w:val="0"/>
              </w:rPr>
              <w:t>What watering guidance is shown and what source/authority supports it.</w:t>
            </w:r>
          </w:p>
        </w:tc>
      </w:tr>
      <w:tr>
        <w:trPr>
          <w:cantSplit/>
        </w:trPr>
        <w:tc>
          <w:tcPr>
            <w:tcW w:type="dxa" w:w="2592"/>
            <w:vAlign w:val="center"/>
          </w:tcPr>
          <w:p>
            <w:pPr>
              <w:spacing w:after="0"/>
            </w:pPr>
            <w:r/>
            <w:r>
              <w:rPr>
                <w:b w:val="0"/>
              </w:rPr>
              <w:t>Conditions</w:t>
            </w:r>
          </w:p>
        </w:tc>
        <w:tc>
          <w:tcPr>
            <w:tcW w:type="dxa" w:w="8208"/>
            <w:vAlign w:val="center"/>
          </w:tcPr>
          <w:p>
            <w:pPr>
              <w:spacing w:after="0"/>
            </w:pPr>
            <w:r/>
            <w:r>
              <w:rPr>
                <w:b w:val="0"/>
              </w:rPr>
              <w:t>Which known conditions materially change the guidance and how they are represented.</w:t>
            </w:r>
          </w:p>
        </w:tc>
      </w:tr>
      <w:tr>
        <w:trPr>
          <w:cantSplit/>
        </w:trPr>
        <w:tc>
          <w:tcPr>
            <w:tcW w:type="dxa" w:w="2592"/>
            <w:vAlign w:val="center"/>
          </w:tcPr>
          <w:p>
            <w:pPr>
              <w:spacing w:after="0"/>
            </w:pPr>
            <w:r/>
            <w:r>
              <w:rPr>
                <w:b w:val="0"/>
              </w:rPr>
              <w:t>Uncertainty</w:t>
            </w:r>
          </w:p>
        </w:tc>
        <w:tc>
          <w:tcPr>
            <w:tcW w:type="dxa" w:w="8208"/>
            <w:vAlign w:val="center"/>
          </w:tcPr>
          <w:p>
            <w:pPr>
              <w:spacing w:after="0"/>
            </w:pPr>
            <w:r/>
            <w:r>
              <w:rPr>
                <w:b w:val="0"/>
              </w:rPr>
              <w:t>How EcoGrow communicates incomplete information, variability or uncertainty.</w:t>
            </w:r>
          </w:p>
        </w:tc>
      </w:tr>
      <w:tr>
        <w:trPr>
          <w:cantSplit/>
        </w:trPr>
        <w:tc>
          <w:tcPr>
            <w:tcW w:type="dxa" w:w="2592"/>
            <w:vAlign w:val="center"/>
          </w:tcPr>
          <w:p>
            <w:pPr>
              <w:spacing w:after="0"/>
            </w:pPr>
            <w:r/>
            <w:r>
              <w:rPr>
                <w:b w:val="0"/>
              </w:rPr>
              <w:t>Safety / content boundary</w:t>
            </w:r>
          </w:p>
        </w:tc>
        <w:tc>
          <w:tcPr>
            <w:tcW w:type="dxa" w:w="8208"/>
            <w:vAlign w:val="center"/>
          </w:tcPr>
          <w:p>
            <w:pPr>
              <w:spacing w:after="0"/>
            </w:pPr>
            <w:r/>
            <w:r>
              <w:rPr>
                <w:b w:val="0"/>
              </w:rPr>
              <w:t>What the capability will not claim or recommend when evidence is insufficient.</w:t>
            </w:r>
          </w:p>
        </w:tc>
      </w:tr>
      <w:tr>
        <w:trPr>
          <w:cantSplit/>
        </w:trPr>
        <w:tc>
          <w:tcPr>
            <w:tcW w:type="dxa" w:w="2592"/>
            <w:vAlign w:val="center"/>
          </w:tcPr>
          <w:p>
            <w:pPr>
              <w:spacing w:after="0"/>
            </w:pPr>
            <w:r/>
            <w:r>
              <w:rPr>
                <w:b w:val="0"/>
              </w:rPr>
              <w:t>Review</w:t>
            </w:r>
          </w:p>
        </w:tc>
        <w:tc>
          <w:tcPr>
            <w:tcW w:type="dxa" w:w="8208"/>
            <w:vAlign w:val="center"/>
          </w:tcPr>
          <w:p>
            <w:pPr>
              <w:spacing w:after="0"/>
            </w:pPr>
            <w:r/>
            <w:r>
              <w:rPr>
                <w:b w:val="0"/>
              </w:rPr>
              <w:t>Who validates guidance before release and how content changes are reviewed.</w:t>
            </w:r>
          </w:p>
        </w:tc>
      </w:tr>
    </w:tbl>
    <w:p/>
    <w:p>
      <w:pPr>
        <w:pStyle w:val="Heading1"/>
      </w:pPr>
      <w:r>
        <w:t>9. Data and Content Requirements for Discovery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vAlign w:val="center"/>
            <w:shd w:fill="D9EAD3"/>
          </w:tcPr>
          <w:p>
            <w:pPr>
              <w:spacing w:after="0"/>
            </w:pPr>
            <w:r/>
            <w:r>
              <w:rPr>
                <w:b/>
              </w:rPr>
              <w:t>Area</w:t>
            </w:r>
          </w:p>
        </w:tc>
        <w:tc>
          <w:tcPr>
            <w:tcW w:type="dxa" w:w="5760"/>
            <w:vAlign w:val="center"/>
            <w:shd w:fill="D9EAD3"/>
          </w:tcPr>
          <w:p>
            <w:pPr>
              <w:spacing w:after="0"/>
            </w:pPr>
            <w:r/>
            <w:r>
              <w:rPr>
                <w:b/>
              </w:rPr>
              <w:t>Candidate information</w:t>
            </w:r>
          </w:p>
        </w:tc>
        <w:tc>
          <w:tcPr>
            <w:tcW w:type="dxa" w:w="2880"/>
            <w:vAlign w:val="center"/>
            <w:shd w:fill="D9EAD3"/>
          </w:tcPr>
          <w:p>
            <w:pPr>
              <w:spacing w:after="0"/>
            </w:pPr>
            <w:r/>
            <w:r>
              <w:rPr>
                <w:b/>
              </w:rPr>
              <w:t>Current status</w:t>
            </w:r>
          </w:p>
        </w:tc>
      </w:tr>
      <w:tr>
        <w:trPr>
          <w:cantSplit/>
        </w:trPr>
        <w:tc>
          <w:tcPr>
            <w:tcW w:type="dxa" w:w="2160"/>
            <w:vAlign w:val="center"/>
          </w:tcPr>
          <w:p>
            <w:pPr>
              <w:spacing w:after="0"/>
            </w:pPr>
            <w:r/>
            <w:r>
              <w:rPr>
                <w:b w:val="0"/>
              </w:rPr>
              <w:t>Plant knowledge</w:t>
            </w:r>
          </w:p>
        </w:tc>
        <w:tc>
          <w:tcPr>
            <w:tcW w:type="dxa" w:w="5760"/>
            <w:vAlign w:val="center"/>
          </w:tcPr>
          <w:p>
            <w:pPr>
              <w:spacing w:after="0"/>
            </w:pPr>
            <w:r/>
            <w:r>
              <w:rPr>
                <w:b w:val="0"/>
              </w:rPr>
              <w:t>Plant identity, plant type/characteristics, care guidance, watering guidance.</w:t>
            </w:r>
          </w:p>
        </w:tc>
        <w:tc>
          <w:tcPr>
            <w:tcW w:type="dxa" w:w="2880"/>
            <w:vAlign w:val="center"/>
          </w:tcPr>
          <w:p>
            <w:pPr>
              <w:spacing w:after="0"/>
            </w:pPr>
            <w:r/>
            <w:r>
              <w:rPr>
                <w:b w:val="0"/>
              </w:rPr>
              <w:t>Required discovery input</w:t>
            </w:r>
          </w:p>
        </w:tc>
      </w:tr>
      <w:tr>
        <w:trPr>
          <w:cantSplit/>
        </w:trPr>
        <w:tc>
          <w:tcPr>
            <w:tcW w:type="dxa" w:w="2160"/>
            <w:vAlign w:val="center"/>
          </w:tcPr>
          <w:p>
            <w:pPr>
              <w:spacing w:after="0"/>
            </w:pPr>
            <w:r/>
            <w:r>
              <w:rPr>
                <w:b w:val="0"/>
              </w:rPr>
              <w:t>Context</w:t>
            </w:r>
          </w:p>
        </w:tc>
        <w:tc>
          <w:tcPr>
            <w:tcW w:type="dxa" w:w="5760"/>
            <w:vAlign w:val="center"/>
          </w:tcPr>
          <w:p>
            <w:pPr>
              <w:spacing w:after="0"/>
            </w:pPr>
            <w:r/>
            <w:r>
              <w:rPr>
                <w:b w:val="0"/>
              </w:rPr>
              <w:t>Potentially soil/moisture, season and other conditions that materially affect watering advice.</w:t>
            </w:r>
          </w:p>
        </w:tc>
        <w:tc>
          <w:tcPr>
            <w:tcW w:type="dxa" w:w="2880"/>
            <w:vAlign w:val="center"/>
          </w:tcPr>
          <w:p>
            <w:pPr>
              <w:spacing w:after="0"/>
            </w:pPr>
            <w:r/>
            <w:r>
              <w:rPr>
                <w:b w:val="0"/>
              </w:rPr>
              <w:t>To be validated</w:t>
            </w:r>
          </w:p>
        </w:tc>
      </w:tr>
      <w:tr>
        <w:trPr>
          <w:cantSplit/>
        </w:trPr>
        <w:tc>
          <w:tcPr>
            <w:tcW w:type="dxa" w:w="2160"/>
            <w:vAlign w:val="center"/>
          </w:tcPr>
          <w:p>
            <w:pPr>
              <w:spacing w:after="0"/>
            </w:pPr>
            <w:r/>
            <w:r>
              <w:rPr>
                <w:b w:val="0"/>
              </w:rPr>
              <w:t>Location</w:t>
            </w:r>
          </w:p>
        </w:tc>
        <w:tc>
          <w:tcPr>
            <w:tcW w:type="dxa" w:w="5760"/>
            <w:vAlign w:val="center"/>
          </w:tcPr>
          <w:p>
            <w:pPr>
              <w:spacing w:after="0"/>
            </w:pPr>
            <w:r/>
            <w:r>
              <w:rPr>
                <w:b w:val="0"/>
              </w:rPr>
              <w:t>Potential future context for local environmental relevance.</w:t>
            </w:r>
          </w:p>
        </w:tc>
        <w:tc>
          <w:tcPr>
            <w:tcW w:type="dxa" w:w="2880"/>
            <w:vAlign w:val="center"/>
          </w:tcPr>
          <w:p>
            <w:pPr>
              <w:spacing w:after="0"/>
            </w:pPr>
            <w:r/>
            <w:r>
              <w:rPr>
                <w:b w:val="0"/>
              </w:rPr>
              <w:t>Cross-cutting dependency; not an F01 commitment</w:t>
            </w:r>
          </w:p>
        </w:tc>
      </w:tr>
      <w:tr>
        <w:trPr>
          <w:cantSplit/>
        </w:trPr>
        <w:tc>
          <w:tcPr>
            <w:tcW w:type="dxa" w:w="2160"/>
            <w:vAlign w:val="center"/>
          </w:tcPr>
          <w:p>
            <w:pPr>
              <w:spacing w:after="0"/>
            </w:pPr>
            <w:r/>
            <w:r>
              <w:rPr>
                <w:b w:val="0"/>
              </w:rPr>
              <w:t>Content authority</w:t>
            </w:r>
          </w:p>
        </w:tc>
        <w:tc>
          <w:tcPr>
            <w:tcW w:type="dxa" w:w="5760"/>
            <w:vAlign w:val="center"/>
          </w:tcPr>
          <w:p>
            <w:pPr>
              <w:spacing w:after="0"/>
            </w:pPr>
            <w:r/>
            <w:r>
              <w:rPr>
                <w:b w:val="0"/>
              </w:rPr>
              <w:t>Named source or validated content owner for plant-care guidance.</w:t>
            </w:r>
          </w:p>
        </w:tc>
        <w:tc>
          <w:tcPr>
            <w:tcW w:type="dxa" w:w="2880"/>
            <w:vAlign w:val="center"/>
          </w:tcPr>
          <w:p>
            <w:pPr>
              <w:spacing w:after="0"/>
            </w:pPr>
            <w:r/>
            <w:r>
              <w:rPr>
                <w:b w:val="0"/>
              </w:rPr>
              <w:t>Open governance question</w:t>
            </w:r>
          </w:p>
        </w:tc>
      </w:tr>
      <w:tr>
        <w:trPr>
          <w:cantSplit/>
        </w:trPr>
        <w:tc>
          <w:tcPr>
            <w:tcW w:type="dxa" w:w="2160"/>
            <w:vAlign w:val="center"/>
          </w:tcPr>
          <w:p>
            <w:pPr>
              <w:spacing w:after="0"/>
            </w:pPr>
            <w:r/>
            <w:r>
              <w:rPr>
                <w:b w:val="0"/>
              </w:rPr>
              <w:t>Content lifecycle</w:t>
            </w:r>
          </w:p>
        </w:tc>
        <w:tc>
          <w:tcPr>
            <w:tcW w:type="dxa" w:w="5760"/>
            <w:vAlign w:val="center"/>
          </w:tcPr>
          <w:p>
            <w:pPr>
              <w:spacing w:after="0"/>
            </w:pPr>
            <w:r/>
            <w:r>
              <w:rPr>
                <w:b w:val="0"/>
              </w:rPr>
              <w:t>Creation, validation, review, change and retirement of guidance.</w:t>
            </w:r>
          </w:p>
        </w:tc>
        <w:tc>
          <w:tcPr>
            <w:tcW w:type="dxa" w:w="2880"/>
            <w:vAlign w:val="center"/>
          </w:tcPr>
          <w:p>
            <w:pPr>
              <w:spacing w:after="0"/>
            </w:pPr>
            <w:r/>
            <w:r>
              <w:rPr>
                <w:b w:val="0"/>
              </w:rPr>
              <w:t>Open governance question</w:t>
            </w:r>
          </w:p>
        </w:tc>
      </w:tr>
      <w:tr>
        <w:trPr>
          <w:cantSplit/>
        </w:trPr>
        <w:tc>
          <w:tcPr>
            <w:tcW w:type="dxa" w:w="2160"/>
            <w:vAlign w:val="center"/>
          </w:tcPr>
          <w:p>
            <w:pPr>
              <w:spacing w:after="0"/>
            </w:pPr>
            <w:r/>
            <w:r>
              <w:rPr>
                <w:b w:val="0"/>
              </w:rPr>
              <w:t>Analytics</w:t>
            </w:r>
          </w:p>
        </w:tc>
        <w:tc>
          <w:tcPr>
            <w:tcW w:type="dxa" w:w="5760"/>
            <w:vAlign w:val="center"/>
          </w:tcPr>
          <w:p>
            <w:pPr>
              <w:spacing w:after="0"/>
            </w:pPr>
            <w:r/>
            <w:r>
              <w:rPr>
                <w:b w:val="0"/>
              </w:rPr>
              <w:t>Events needed to measure feature usage and usefulness after real delivery.</w:t>
            </w:r>
          </w:p>
        </w:tc>
        <w:tc>
          <w:tcPr>
            <w:tcW w:type="dxa" w:w="2880"/>
            <w:vAlign w:val="center"/>
          </w:tcPr>
          <w:p>
            <w:pPr>
              <w:spacing w:after="0"/>
            </w:pPr>
            <w:r/>
            <w:r>
              <w:rPr>
                <w:b w:val="0"/>
              </w:rPr>
              <w:t>Discovery consideration, not proof of future value</w:t>
            </w:r>
          </w:p>
        </w:tc>
      </w:tr>
    </w:tbl>
    <w:p/>
    <w:p>
      <w:pPr>
        <w:pStyle w:val="Heading1"/>
      </w:pPr>
      <w:r>
        <w:t>10. NFR Discovery Themes</w:t>
      </w:r>
    </w:p>
    <w:p>
      <w:r>
        <w:t>No NFR IDs are being created yet because discovery has not established approved delivery scope. The following are the themes that will need to be tested before a future requirement is considered Jira-ready:</w:t>
      </w:r>
    </w:p>
    <w:p>
      <w:pPr>
        <w:pStyle w:val="ListBullet"/>
      </w:pPr>
      <w:r>
        <w:t>Accuracy and content quality: guidance must meet an agreed content-authority standard.</w:t>
      </w:r>
    </w:p>
    <w:p>
      <w:pPr>
        <w:pStyle w:val="ListBullet"/>
      </w:pPr>
      <w:r>
        <w:t>Timeliness and maintainability: content changes must be reviewable and controllable.</w:t>
      </w:r>
    </w:p>
    <w:p>
      <w:pPr>
        <w:pStyle w:val="ListBullet"/>
      </w:pPr>
      <w:r>
        <w:t>Explainability: the gardener should understand what the guidance means and when it may not apply.</w:t>
      </w:r>
    </w:p>
    <w:p>
      <w:pPr>
        <w:pStyle w:val="ListBullet"/>
      </w:pPr>
      <w:r>
        <w:t>Availability and performance: guidance should be available at an acceptable response time once implemented.</w:t>
      </w:r>
    </w:p>
    <w:p>
      <w:pPr>
        <w:pStyle w:val="ListBullet"/>
      </w:pPr>
      <w:r>
        <w:t>Privacy: no location or personalisation dependency should be assumed without clear consent and data handling decisions.</w:t>
      </w:r>
    </w:p>
    <w:p>
      <w:pPr>
        <w:pStyle w:val="ListBullet"/>
      </w:pPr>
      <w:r>
        <w:t>Observability: post-delivery usage and content performance should be measurable where appropriate.</w:t>
      </w:r>
    </w:p>
    <w:p>
      <w:pPr>
        <w:pStyle w:val="Heading1"/>
      </w:pPr>
      <w:r>
        <w:t>11. Dependencies and Boundary Controls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592"/>
            <w:vAlign w:val="center"/>
            <w:shd w:fill="D9EAD3"/>
          </w:tcPr>
          <w:p>
            <w:pPr>
              <w:spacing w:after="0"/>
            </w:pPr>
            <w:r/>
            <w:r>
              <w:rPr>
                <w:b/>
              </w:rPr>
              <w:t>Dependency / boundary</w:t>
            </w:r>
          </w:p>
        </w:tc>
        <w:tc>
          <w:tcPr>
            <w:tcW w:type="dxa" w:w="5328"/>
            <w:vAlign w:val="center"/>
            <w:shd w:fill="D9EAD3"/>
          </w:tcPr>
          <w:p>
            <w:pPr>
              <w:spacing w:after="0"/>
            </w:pPr>
            <w:r/>
            <w:r>
              <w:rPr>
                <w:b/>
              </w:rPr>
              <w:t>Why it matters</w:t>
            </w:r>
          </w:p>
        </w:tc>
        <w:tc>
          <w:tcPr>
            <w:tcW w:type="dxa" w:w="2880"/>
            <w:vAlign w:val="center"/>
            <w:shd w:fill="D9EAD3"/>
          </w:tcPr>
          <w:p>
            <w:pPr>
              <w:spacing w:after="0"/>
            </w:pPr>
            <w:r/>
            <w:r>
              <w:rPr>
                <w:b/>
              </w:rPr>
              <w:t>Current decision</w:t>
            </w:r>
          </w:p>
        </w:tc>
      </w:tr>
      <w:tr>
        <w:trPr>
          <w:cantSplit/>
        </w:trPr>
        <w:tc>
          <w:tcPr>
            <w:tcW w:type="dxa" w:w="2592"/>
            <w:vAlign w:val="center"/>
          </w:tcPr>
          <w:p>
            <w:pPr>
              <w:spacing w:after="0"/>
            </w:pPr>
            <w:r/>
            <w:r>
              <w:rPr>
                <w:b w:val="0"/>
              </w:rPr>
              <w:t>Plant knowledge/content source</w:t>
            </w:r>
          </w:p>
        </w:tc>
        <w:tc>
          <w:tcPr>
            <w:tcW w:type="dxa" w:w="5328"/>
            <w:vAlign w:val="center"/>
          </w:tcPr>
          <w:p>
            <w:pPr>
              <w:spacing w:after="0"/>
            </w:pPr>
            <w:r/>
            <w:r>
              <w:rPr>
                <w:b w:val="0"/>
              </w:rPr>
              <w:t>Without authoritative content, plant-specific guidance cannot be responsibly defined.</w:t>
            </w:r>
          </w:p>
        </w:tc>
        <w:tc>
          <w:tcPr>
            <w:tcW w:type="dxa" w:w="2880"/>
            <w:vAlign w:val="center"/>
          </w:tcPr>
          <w:p>
            <w:pPr>
              <w:spacing w:after="0"/>
            </w:pPr>
            <w:r/>
            <w:r>
              <w:rPr>
                <w:b w:val="0"/>
              </w:rPr>
              <w:t>Open</w:t>
            </w:r>
          </w:p>
        </w:tc>
      </w:tr>
      <w:tr>
        <w:trPr>
          <w:cantSplit/>
        </w:trPr>
        <w:tc>
          <w:tcPr>
            <w:tcW w:type="dxa" w:w="2592"/>
            <w:vAlign w:val="center"/>
          </w:tcPr>
          <w:p>
            <w:pPr>
              <w:spacing w:after="0"/>
            </w:pPr>
            <w:r/>
            <w:r>
              <w:rPr>
                <w:b w:val="0"/>
              </w:rPr>
              <w:t>Horticulture validation</w:t>
            </w:r>
          </w:p>
        </w:tc>
        <w:tc>
          <w:tcPr>
            <w:tcW w:type="dxa" w:w="5328"/>
            <w:vAlign w:val="center"/>
          </w:tcPr>
          <w:p>
            <w:pPr>
              <w:spacing w:after="0"/>
            </w:pPr>
            <w:r/>
            <w:r>
              <w:rPr>
                <w:b w:val="0"/>
              </w:rPr>
              <w:t>Guidance needs a credible subject-matter authority if taken forward.</w:t>
            </w:r>
          </w:p>
        </w:tc>
        <w:tc>
          <w:tcPr>
            <w:tcW w:type="dxa" w:w="2880"/>
            <w:vAlign w:val="center"/>
          </w:tcPr>
          <w:p>
            <w:pPr>
              <w:spacing w:after="0"/>
            </w:pPr>
            <w:r/>
            <w:r>
              <w:rPr>
                <w:b w:val="0"/>
              </w:rPr>
              <w:t>Future governance dependency</w:t>
            </w:r>
          </w:p>
        </w:tc>
      </w:tr>
      <w:tr>
        <w:trPr>
          <w:cantSplit/>
        </w:trPr>
        <w:tc>
          <w:tcPr>
            <w:tcW w:type="dxa" w:w="2592"/>
            <w:vAlign w:val="center"/>
          </w:tcPr>
          <w:p>
            <w:pPr>
              <w:spacing w:after="0"/>
            </w:pPr>
            <w:r/>
            <w:r>
              <w:rPr>
                <w:b w:val="0"/>
              </w:rPr>
              <w:t>Location context</w:t>
            </w:r>
          </w:p>
        </w:tc>
        <w:tc>
          <w:tcPr>
            <w:tcW w:type="dxa" w:w="5328"/>
            <w:vAlign w:val="center"/>
          </w:tcPr>
          <w:p>
            <w:pPr>
              <w:spacing w:after="0"/>
            </w:pPr>
            <w:r/>
            <w:r>
              <w:rPr>
                <w:b w:val="0"/>
              </w:rPr>
              <w:t>May be needed for later local conditions, weather or personalisation.</w:t>
            </w:r>
          </w:p>
        </w:tc>
        <w:tc>
          <w:tcPr>
            <w:tcW w:type="dxa" w:w="2880"/>
            <w:vAlign w:val="center"/>
          </w:tcPr>
          <w:p>
            <w:pPr>
              <w:spacing w:after="0"/>
            </w:pPr>
            <w:r/>
            <w:r>
              <w:rPr>
                <w:b w:val="0"/>
              </w:rPr>
              <w:t>Deferred to later discovery unless evidence shows F01 requires it</w:t>
            </w:r>
          </w:p>
        </w:tc>
      </w:tr>
      <w:tr>
        <w:trPr>
          <w:cantSplit/>
        </w:trPr>
        <w:tc>
          <w:tcPr>
            <w:tcW w:type="dxa" w:w="2592"/>
            <w:vAlign w:val="center"/>
          </w:tcPr>
          <w:p>
            <w:pPr>
              <w:spacing w:after="0"/>
            </w:pPr>
            <w:r/>
            <w:r>
              <w:rPr>
                <w:b w:val="0"/>
              </w:rPr>
              <w:t>Weather data</w:t>
            </w:r>
          </w:p>
        </w:tc>
        <w:tc>
          <w:tcPr>
            <w:tcW w:type="dxa" w:w="5328"/>
            <w:vAlign w:val="center"/>
          </w:tcPr>
          <w:p>
            <w:pPr>
              <w:spacing w:after="0"/>
            </w:pPr>
            <w:r/>
            <w:r>
              <w:rPr>
                <w:b w:val="0"/>
              </w:rPr>
              <w:t>Would change watering recommendations based on forecast/environmental context.</w:t>
            </w:r>
          </w:p>
        </w:tc>
        <w:tc>
          <w:tcPr>
            <w:tcW w:type="dxa" w:w="2880"/>
            <w:vAlign w:val="center"/>
          </w:tcPr>
          <w:p>
            <w:pPr>
              <w:spacing w:after="0"/>
            </w:pPr>
            <w:r/>
            <w:r>
              <w:rPr>
                <w:b w:val="0"/>
              </w:rPr>
              <w:t>Explicitly EPIC-F02, not F01</w:t>
            </w:r>
          </w:p>
        </w:tc>
      </w:tr>
      <w:tr>
        <w:trPr>
          <w:cantSplit/>
        </w:trPr>
        <w:tc>
          <w:tcPr>
            <w:tcW w:type="dxa" w:w="2592"/>
            <w:vAlign w:val="center"/>
          </w:tcPr>
          <w:p>
            <w:pPr>
              <w:spacing w:after="0"/>
            </w:pPr>
            <w:r/>
            <w:r>
              <w:rPr>
                <w:b w:val="0"/>
              </w:rPr>
              <w:t>Personalisation profile</w:t>
            </w:r>
          </w:p>
        </w:tc>
        <w:tc>
          <w:tcPr>
            <w:tcW w:type="dxa" w:w="5328"/>
            <w:vAlign w:val="center"/>
          </w:tcPr>
          <w:p>
            <w:pPr>
              <w:spacing w:after="0"/>
            </w:pPr>
            <w:r/>
            <w:r>
              <w:rPr>
                <w:b w:val="0"/>
              </w:rPr>
              <w:t>Could make guidance user-specific.</w:t>
            </w:r>
          </w:p>
        </w:tc>
        <w:tc>
          <w:tcPr>
            <w:tcW w:type="dxa" w:w="2880"/>
            <w:vAlign w:val="center"/>
          </w:tcPr>
          <w:p>
            <w:pPr>
              <w:spacing w:after="0"/>
            </w:pPr>
            <w:r/>
            <w:r>
              <w:rPr>
                <w:b w:val="0"/>
              </w:rPr>
              <w:t>EPIC-F05 candidate, not F01 commitment</w:t>
            </w:r>
          </w:p>
        </w:tc>
      </w:tr>
      <w:tr>
        <w:trPr>
          <w:cantSplit/>
        </w:trPr>
        <w:tc>
          <w:tcPr>
            <w:tcW w:type="dxa" w:w="2592"/>
            <w:vAlign w:val="center"/>
          </w:tcPr>
          <w:p>
            <w:pPr>
              <w:spacing w:after="0"/>
            </w:pPr>
            <w:r/>
            <w:r>
              <w:rPr>
                <w:b w:val="0"/>
              </w:rPr>
              <w:t>Plant-health / treatment content</w:t>
            </w:r>
          </w:p>
        </w:tc>
        <w:tc>
          <w:tcPr>
            <w:tcW w:type="dxa" w:w="5328"/>
            <w:vAlign w:val="center"/>
          </w:tcPr>
          <w:p>
            <w:pPr>
              <w:spacing w:after="0"/>
            </w:pPr>
            <w:r/>
            <w:r>
              <w:rPr>
                <w:b w:val="0"/>
              </w:rPr>
              <w:t>Introduces specialist and safety governance.</w:t>
            </w:r>
          </w:p>
        </w:tc>
        <w:tc>
          <w:tcPr>
            <w:tcW w:type="dxa" w:w="2880"/>
            <w:vAlign w:val="center"/>
          </w:tcPr>
          <w:p>
            <w:pPr>
              <w:spacing w:after="0"/>
            </w:pPr>
            <w:r/>
            <w:r>
              <w:rPr>
                <w:b w:val="0"/>
              </w:rPr>
              <w:t>EPIC-F03 boundary</w:t>
            </w:r>
          </w:p>
        </w:tc>
      </w:tr>
    </w:tbl>
    <w:p/>
    <w:p>
      <w:pPr>
        <w:pStyle w:val="Heading1"/>
      </w:pPr>
      <w:r>
        <w:t>12. Value, Complexity and Governance Assessment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vAlign w:val="center"/>
            <w:shd w:fill="D9EAD3"/>
          </w:tcPr>
          <w:p>
            <w:pPr>
              <w:spacing w:after="0"/>
            </w:pPr>
            <w:r/>
            <w:r>
              <w:rPr>
                <w:b/>
              </w:rPr>
              <w:t>Dimension</w:t>
            </w:r>
          </w:p>
        </w:tc>
        <w:tc>
          <w:tcPr>
            <w:tcW w:type="dxa" w:w="6048"/>
            <w:vAlign w:val="center"/>
            <w:shd w:fill="D9EAD3"/>
          </w:tcPr>
          <w:p>
            <w:pPr>
              <w:spacing w:after="0"/>
            </w:pPr>
            <w:r/>
            <w:r>
              <w:rPr>
                <w:b/>
              </w:rPr>
              <w:t>Assessment</w:t>
            </w:r>
          </w:p>
        </w:tc>
        <w:tc>
          <w:tcPr>
            <w:tcW w:type="dxa" w:w="2592"/>
            <w:vAlign w:val="center"/>
            <w:shd w:fill="D9EAD3"/>
          </w:tcPr>
          <w:p>
            <w:pPr>
              <w:spacing w:after="0"/>
            </w:pPr>
            <w:r/>
            <w:r>
              <w:rPr>
                <w:b/>
              </w:rPr>
              <w:t>Evidence status</w:t>
            </w:r>
          </w:p>
        </w:tc>
      </w:tr>
      <w:tr>
        <w:trPr>
          <w:cantSplit/>
        </w:trPr>
        <w:tc>
          <w:tcPr>
            <w:tcW w:type="dxa" w:w="2160"/>
            <w:vAlign w:val="center"/>
          </w:tcPr>
          <w:p>
            <w:pPr>
              <w:spacing w:after="0"/>
            </w:pPr>
            <w:r/>
            <w:r>
              <w:rPr>
                <w:b w:val="0"/>
              </w:rPr>
              <w:t>User value</w:t>
            </w:r>
          </w:p>
        </w:tc>
        <w:tc>
          <w:tcPr>
            <w:tcW w:type="dxa" w:w="6048"/>
            <w:vAlign w:val="center"/>
          </w:tcPr>
          <w:p>
            <w:pPr>
              <w:spacing w:after="0"/>
            </w:pPr>
            <w:r/>
            <w:r>
              <w:rPr>
                <w:b w:val="0"/>
              </w:rPr>
              <w:t>High potential because the opportunity directly addresses the gap between finding information and making a care decision.</w:t>
            </w:r>
          </w:p>
        </w:tc>
        <w:tc>
          <w:tcPr>
            <w:tcW w:type="dxa" w:w="2592"/>
            <w:vAlign w:val="center"/>
          </w:tcPr>
          <w:p>
            <w:pPr>
              <w:spacing w:after="0"/>
            </w:pPr>
            <w:r/>
            <w:r>
              <w:rPr>
                <w:b w:val="0"/>
              </w:rPr>
              <w:t>Hypothesis</w:t>
            </w:r>
          </w:p>
        </w:tc>
      </w:tr>
      <w:tr>
        <w:trPr>
          <w:cantSplit/>
        </w:trPr>
        <w:tc>
          <w:tcPr>
            <w:tcW w:type="dxa" w:w="2160"/>
            <w:vAlign w:val="center"/>
          </w:tcPr>
          <w:p>
            <w:pPr>
              <w:spacing w:after="0"/>
            </w:pPr>
            <w:r/>
            <w:r>
              <w:rPr>
                <w:b w:val="0"/>
              </w:rPr>
              <w:t>Business value</w:t>
            </w:r>
          </w:p>
        </w:tc>
        <w:tc>
          <w:tcPr>
            <w:tcW w:type="dxa" w:w="6048"/>
            <w:vAlign w:val="center"/>
          </w:tcPr>
          <w:p>
            <w:pPr>
              <w:spacing w:after="0"/>
            </w:pPr>
            <w:r/>
            <w:r>
              <w:rPr>
                <w:b w:val="0"/>
              </w:rPr>
              <w:t>Potentially high because a more useful care experience could strengthen product usefulness and repeat engagement.</w:t>
            </w:r>
          </w:p>
        </w:tc>
        <w:tc>
          <w:tcPr>
            <w:tcW w:type="dxa" w:w="2592"/>
            <w:vAlign w:val="center"/>
          </w:tcPr>
          <w:p>
            <w:pPr>
              <w:spacing w:after="0"/>
            </w:pPr>
            <w:r/>
            <w:r>
              <w:rPr>
                <w:b w:val="0"/>
              </w:rPr>
              <w:t>Hypothesis, not proven</w:t>
            </w:r>
          </w:p>
        </w:tc>
      </w:tr>
      <w:tr>
        <w:trPr>
          <w:cantSplit/>
        </w:trPr>
        <w:tc>
          <w:tcPr>
            <w:tcW w:type="dxa" w:w="2160"/>
            <w:vAlign w:val="center"/>
          </w:tcPr>
          <w:p>
            <w:pPr>
              <w:spacing w:after="0"/>
            </w:pPr>
            <w:r/>
            <w:r>
              <w:rPr>
                <w:b w:val="0"/>
              </w:rPr>
              <w:t>Complexity</w:t>
            </w:r>
          </w:p>
        </w:tc>
        <w:tc>
          <w:tcPr>
            <w:tcW w:type="dxa" w:w="6048"/>
            <w:vAlign w:val="center"/>
          </w:tcPr>
          <w:p>
            <w:pPr>
              <w:spacing w:after="0"/>
            </w:pPr>
            <w:r/>
            <w:r>
              <w:rPr>
                <w:b w:val="0"/>
              </w:rPr>
              <w:t>Medium initially, but complexity increases significantly with contextual inputs, content rules and personalisation.</w:t>
            </w:r>
          </w:p>
        </w:tc>
        <w:tc>
          <w:tcPr>
            <w:tcW w:type="dxa" w:w="2592"/>
            <w:vAlign w:val="center"/>
          </w:tcPr>
          <w:p>
            <w:pPr>
              <w:spacing w:after="0"/>
            </w:pPr>
            <w:r/>
            <w:r>
              <w:rPr>
                <w:b w:val="0"/>
              </w:rPr>
              <w:t>Discovery assessment</w:t>
            </w:r>
          </w:p>
        </w:tc>
      </w:tr>
      <w:tr>
        <w:trPr>
          <w:cantSplit/>
        </w:trPr>
        <w:tc>
          <w:tcPr>
            <w:tcW w:type="dxa" w:w="2160"/>
            <w:vAlign w:val="center"/>
          </w:tcPr>
          <w:p>
            <w:pPr>
              <w:spacing w:after="0"/>
            </w:pPr>
            <w:r/>
            <w:r>
              <w:rPr>
                <w:b w:val="0"/>
              </w:rPr>
              <w:t>Governance impact</w:t>
            </w:r>
          </w:p>
        </w:tc>
        <w:tc>
          <w:tcPr>
            <w:tcW w:type="dxa" w:w="6048"/>
            <w:vAlign w:val="center"/>
          </w:tcPr>
          <w:p>
            <w:pPr>
              <w:spacing w:after="0"/>
            </w:pPr>
            <w:r/>
            <w:r>
              <w:rPr>
                <w:b w:val="0"/>
              </w:rPr>
              <w:t>Medium to high because content authority, validation and limitations become part of the product capability.</w:t>
            </w:r>
          </w:p>
        </w:tc>
        <w:tc>
          <w:tcPr>
            <w:tcW w:type="dxa" w:w="2592"/>
            <w:vAlign w:val="center"/>
          </w:tcPr>
          <w:p>
            <w:pPr>
              <w:spacing w:after="0"/>
            </w:pPr>
            <w:r/>
            <w:r>
              <w:rPr>
                <w:b w:val="0"/>
              </w:rPr>
              <w:t>Supported by baseline governance analysis</w:t>
            </w:r>
          </w:p>
        </w:tc>
      </w:tr>
      <w:tr>
        <w:trPr>
          <w:cantSplit/>
        </w:trPr>
        <w:tc>
          <w:tcPr>
            <w:tcW w:type="dxa" w:w="2160"/>
            <w:vAlign w:val="center"/>
          </w:tcPr>
          <w:p>
            <w:pPr>
              <w:spacing w:after="0"/>
            </w:pPr>
            <w:r/>
            <w:r>
              <w:rPr>
                <w:b w:val="0"/>
              </w:rPr>
              <w:t>Portfolio value</w:t>
            </w:r>
          </w:p>
        </w:tc>
        <w:tc>
          <w:tcPr>
            <w:tcW w:type="dxa" w:w="6048"/>
            <w:vAlign w:val="center"/>
          </w:tcPr>
          <w:p>
            <w:pPr>
              <w:spacing w:after="0"/>
            </w:pPr>
            <w:r/>
            <w:r>
              <w:rPr>
                <w:b w:val="0"/>
              </w:rPr>
              <w:t>High as a Business Analysis example because it demonstrates moving from vague product vision to governed future-state requirements.</w:t>
            </w:r>
          </w:p>
        </w:tc>
        <w:tc>
          <w:tcPr>
            <w:tcW w:type="dxa" w:w="2592"/>
            <w:vAlign w:val="center"/>
          </w:tcPr>
          <w:p>
            <w:pPr>
              <w:spacing w:after="0"/>
            </w:pPr>
            <w:r/>
            <w:r>
              <w:rPr>
                <w:b w:val="0"/>
              </w:rPr>
              <w:t>Professional assessment</w:t>
            </w:r>
          </w:p>
        </w:tc>
      </w:tr>
    </w:tbl>
    <w:p/>
    <w:p>
      <w:r>
        <w:t>I am deliberately not assigning Story Points or a delivery estimate in this pass. Estimation belongs to actual Sprint Planning after the requirement reaches delivery readiness.</w:t>
      </w:r>
    </w:p>
    <w:p>
      <w:pPr>
        <w:pStyle w:val="Heading1"/>
      </w:pPr>
      <w:r>
        <w:t>13. Key Discovery Questions</w:t>
      </w:r>
    </w:p>
    <w:p>
      <w:pPr>
        <w:pStyle w:val="ListBullet"/>
      </w:pPr>
      <w:r>
        <w:t>Who is the authoritative owner or approver of EcoGrow plant-care and watering content?</w:t>
      </w:r>
    </w:p>
    <w:p>
      <w:pPr>
        <w:pStyle w:val="ListBullet"/>
      </w:pPr>
      <w:r>
        <w:t>What minimum plant information is required before watering guidance can be considered reliable?</w:t>
      </w:r>
    </w:p>
    <w:p>
      <w:pPr>
        <w:pStyle w:val="ListBullet"/>
      </w:pPr>
      <w:r>
        <w:t>Which environmental or plant conditions materially change watering guidance?</w:t>
      </w:r>
    </w:p>
    <w:p>
      <w:pPr>
        <w:pStyle w:val="ListBullet"/>
      </w:pPr>
      <w:r>
        <w:t>How should EcoGrow behave when required information is missing or conflicting?</w:t>
      </w:r>
    </w:p>
    <w:p>
      <w:pPr>
        <w:pStyle w:val="ListBullet"/>
      </w:pPr>
      <w:r>
        <w:t>Is guidance retrieved from curated content, generated through rules, or a combination of the two?</w:t>
      </w:r>
    </w:p>
    <w:p>
      <w:pPr>
        <w:pStyle w:val="ListBullet"/>
      </w:pPr>
      <w:r>
        <w:t>What review cadence and change-control process is required for care guidance?</w:t>
      </w:r>
    </w:p>
    <w:p>
      <w:pPr>
        <w:pStyle w:val="ListBullet"/>
      </w:pPr>
      <w:r>
        <w:t>Does GreenSphere consider reminders part of Smart Plant Care, or should reminders wait for EPIC-F05 personalisation?</w:t>
      </w:r>
    </w:p>
    <w:p>
      <w:pPr>
        <w:pStyle w:val="ListBullet"/>
      </w:pPr>
      <w:r>
        <w:t>What user outcome will GreenSphere use to judge whether the feature provides meaningful value?</w:t>
      </w:r>
    </w:p>
    <w:p>
      <w:pPr>
        <w:pStyle w:val="ListBullet"/>
      </w:pPr>
      <w:r>
        <w:t>What evidence would be required before moving FR-10/FR-11 from candidate to approved requirement?</w:t>
      </w:r>
    </w:p>
    <w:p>
      <w:pPr>
        <w:pStyle w:val="Heading1"/>
      </w:pPr>
      <w:r>
        <w:t>14. Discovery Decision Gate</w:t>
      </w:r>
    </w:p>
    <w:p>
      <w:r>
        <w:t>EPIC-F01 should not move into Pass 3 delivery translation until the following are sufficiently answered and evidenced:</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D9EAD3"/>
          </w:tcPr>
          <w:p>
            <w:pPr>
              <w:spacing w:after="0"/>
            </w:pPr>
            <w:r/>
            <w:r>
              <w:rPr>
                <w:b/>
              </w:rPr>
              <w:t>Gate</w:t>
            </w:r>
          </w:p>
        </w:tc>
        <w:tc>
          <w:tcPr>
            <w:tcW w:type="dxa" w:w="8208"/>
            <w:vAlign w:val="center"/>
            <w:shd w:fill="D9EAD3"/>
          </w:tcPr>
          <w:p>
            <w:pPr>
              <w:spacing w:after="0"/>
            </w:pPr>
            <w:r/>
            <w:r>
              <w:rPr>
                <w:b/>
              </w:rPr>
              <w:t>Required before progression</w:t>
            </w:r>
          </w:p>
        </w:tc>
      </w:tr>
      <w:tr>
        <w:trPr>
          <w:cantSplit/>
        </w:trPr>
        <w:tc>
          <w:tcPr>
            <w:tcW w:type="dxa" w:w="2592"/>
            <w:vAlign w:val="center"/>
          </w:tcPr>
          <w:p>
            <w:pPr>
              <w:spacing w:after="0"/>
            </w:pPr>
            <w:r/>
            <w:r>
              <w:rPr>
                <w:b w:val="0"/>
              </w:rPr>
              <w:t>Problem / user need</w:t>
            </w:r>
          </w:p>
        </w:tc>
        <w:tc>
          <w:tcPr>
            <w:tcW w:type="dxa" w:w="8208"/>
            <w:vAlign w:val="center"/>
          </w:tcPr>
          <w:p>
            <w:pPr>
              <w:spacing w:after="0"/>
            </w:pPr>
            <w:r/>
            <w:r>
              <w:rPr>
                <w:b w:val="0"/>
              </w:rPr>
              <w:t>A clear, validated reason for plant-specific care guidance exists.</w:t>
            </w:r>
          </w:p>
        </w:tc>
      </w:tr>
      <w:tr>
        <w:trPr>
          <w:cantSplit/>
        </w:trPr>
        <w:tc>
          <w:tcPr>
            <w:tcW w:type="dxa" w:w="2592"/>
            <w:vAlign w:val="center"/>
          </w:tcPr>
          <w:p>
            <w:pPr>
              <w:spacing w:after="0"/>
            </w:pPr>
            <w:r/>
            <w:r>
              <w:rPr>
                <w:b w:val="0"/>
              </w:rPr>
              <w:t>Content authority</w:t>
            </w:r>
          </w:p>
        </w:tc>
        <w:tc>
          <w:tcPr>
            <w:tcW w:type="dxa" w:w="8208"/>
            <w:vAlign w:val="center"/>
          </w:tcPr>
          <w:p>
            <w:pPr>
              <w:spacing w:after="0"/>
            </w:pPr>
            <w:r/>
            <w:r>
              <w:rPr>
                <w:b w:val="0"/>
              </w:rPr>
              <w:t>A credible owner/SME and review model are defined.</w:t>
            </w:r>
          </w:p>
        </w:tc>
      </w:tr>
      <w:tr>
        <w:trPr>
          <w:cantSplit/>
        </w:trPr>
        <w:tc>
          <w:tcPr>
            <w:tcW w:type="dxa" w:w="2592"/>
            <w:vAlign w:val="center"/>
          </w:tcPr>
          <w:p>
            <w:pPr>
              <w:spacing w:after="0"/>
            </w:pPr>
            <w:r/>
            <w:r>
              <w:rPr>
                <w:b w:val="0"/>
              </w:rPr>
              <w:t>Scope</w:t>
            </w:r>
          </w:p>
        </w:tc>
        <w:tc>
          <w:tcPr>
            <w:tcW w:type="dxa" w:w="8208"/>
            <w:vAlign w:val="center"/>
          </w:tcPr>
          <w:p>
            <w:pPr>
              <w:spacing w:after="0"/>
            </w:pPr>
            <w:r/>
            <w:r>
              <w:rPr>
                <w:b w:val="0"/>
              </w:rPr>
              <w:t>F01 boundary remains distinct from weather, plant health, personalisation and deferred MVP items.</w:t>
            </w:r>
          </w:p>
        </w:tc>
      </w:tr>
      <w:tr>
        <w:trPr>
          <w:cantSplit/>
        </w:trPr>
        <w:tc>
          <w:tcPr>
            <w:tcW w:type="dxa" w:w="2592"/>
            <w:vAlign w:val="center"/>
          </w:tcPr>
          <w:p>
            <w:pPr>
              <w:spacing w:after="0"/>
            </w:pPr>
            <w:r/>
            <w:r>
              <w:rPr>
                <w:b w:val="0"/>
              </w:rPr>
              <w:t>Data</w:t>
            </w:r>
          </w:p>
        </w:tc>
        <w:tc>
          <w:tcPr>
            <w:tcW w:type="dxa" w:w="8208"/>
            <w:vAlign w:val="center"/>
          </w:tcPr>
          <w:p>
            <w:pPr>
              <w:spacing w:after="0"/>
            </w:pPr>
            <w:r/>
            <w:r>
              <w:rPr>
                <w:b w:val="0"/>
              </w:rPr>
              <w:t>Required plant and contextual inputs are defined with known limitations.</w:t>
            </w:r>
          </w:p>
        </w:tc>
      </w:tr>
      <w:tr>
        <w:trPr>
          <w:cantSplit/>
        </w:trPr>
        <w:tc>
          <w:tcPr>
            <w:tcW w:type="dxa" w:w="2592"/>
            <w:vAlign w:val="center"/>
          </w:tcPr>
          <w:p>
            <w:pPr>
              <w:spacing w:after="0"/>
            </w:pPr>
            <w:r/>
            <w:r>
              <w:rPr>
                <w:b w:val="0"/>
              </w:rPr>
              <w:t>Acceptance</w:t>
            </w:r>
          </w:p>
        </w:tc>
        <w:tc>
          <w:tcPr>
            <w:tcW w:type="dxa" w:w="8208"/>
            <w:vAlign w:val="center"/>
          </w:tcPr>
          <w:p>
            <w:pPr>
              <w:spacing w:after="0"/>
            </w:pPr>
            <w:r/>
            <w:r>
              <w:rPr>
                <w:b w:val="0"/>
              </w:rPr>
              <w:t>Delivery-ready acceptance criteria can be written without invented assumptions.</w:t>
            </w:r>
          </w:p>
        </w:tc>
      </w:tr>
      <w:tr>
        <w:trPr>
          <w:cantSplit/>
        </w:trPr>
        <w:tc>
          <w:tcPr>
            <w:tcW w:type="dxa" w:w="2592"/>
            <w:vAlign w:val="center"/>
          </w:tcPr>
          <w:p>
            <w:pPr>
              <w:spacing w:after="0"/>
            </w:pPr>
            <w:r/>
            <w:r>
              <w:rPr>
                <w:b w:val="0"/>
              </w:rPr>
              <w:t>NFRs</w:t>
            </w:r>
          </w:p>
        </w:tc>
        <w:tc>
          <w:tcPr>
            <w:tcW w:type="dxa" w:w="8208"/>
            <w:vAlign w:val="center"/>
          </w:tcPr>
          <w:p>
            <w:pPr>
              <w:spacing w:after="0"/>
            </w:pPr>
            <w:r/>
            <w:r>
              <w:rPr>
                <w:b w:val="0"/>
              </w:rPr>
              <w:t>Relevant quality, explainability, privacy and availability expectations are defined.</w:t>
            </w:r>
          </w:p>
        </w:tc>
      </w:tr>
      <w:tr>
        <w:trPr>
          <w:cantSplit/>
        </w:trPr>
        <w:tc>
          <w:tcPr>
            <w:tcW w:type="dxa" w:w="2592"/>
            <w:vAlign w:val="center"/>
          </w:tcPr>
          <w:p>
            <w:pPr>
              <w:spacing w:after="0"/>
            </w:pPr>
            <w:r/>
            <w:r>
              <w:rPr>
                <w:b w:val="0"/>
              </w:rPr>
              <w:t>Dependencies</w:t>
            </w:r>
          </w:p>
        </w:tc>
        <w:tc>
          <w:tcPr>
            <w:tcW w:type="dxa" w:w="8208"/>
            <w:vAlign w:val="center"/>
          </w:tcPr>
          <w:p>
            <w:pPr>
              <w:spacing w:after="0"/>
            </w:pPr>
            <w:r/>
            <w:r>
              <w:rPr>
                <w:b w:val="0"/>
              </w:rPr>
              <w:t>Critical technical, content and operating dependencies are visible.</w:t>
            </w:r>
          </w:p>
        </w:tc>
      </w:tr>
      <w:tr>
        <w:trPr>
          <w:cantSplit/>
        </w:trPr>
        <w:tc>
          <w:tcPr>
            <w:tcW w:type="dxa" w:w="2592"/>
            <w:vAlign w:val="center"/>
          </w:tcPr>
          <w:p>
            <w:pPr>
              <w:spacing w:after="0"/>
            </w:pPr>
            <w:r/>
            <w:r>
              <w:rPr>
                <w:b w:val="0"/>
              </w:rPr>
              <w:t>Value / priority</w:t>
            </w:r>
          </w:p>
        </w:tc>
        <w:tc>
          <w:tcPr>
            <w:tcW w:type="dxa" w:w="8208"/>
            <w:vAlign w:val="center"/>
          </w:tcPr>
          <w:p>
            <w:pPr>
              <w:spacing w:after="0"/>
            </w:pPr>
            <w:r/>
            <w:r>
              <w:rPr>
                <w:b w:val="0"/>
              </w:rPr>
              <w:t>GreenSphere can make a reasoned prioritisation decision based on value and feasibility.</w:t>
            </w:r>
          </w:p>
        </w:tc>
      </w:tr>
      <w:tr>
        <w:trPr>
          <w:cantSplit/>
        </w:trPr>
        <w:tc>
          <w:tcPr>
            <w:tcW w:type="dxa" w:w="2592"/>
            <w:vAlign w:val="center"/>
          </w:tcPr>
          <w:p>
            <w:pPr>
              <w:spacing w:after="0"/>
            </w:pPr>
            <w:r/>
            <w:r>
              <w:rPr>
                <w:b w:val="0"/>
              </w:rPr>
              <w:t>DoR readiness</w:t>
            </w:r>
          </w:p>
        </w:tc>
        <w:tc>
          <w:tcPr>
            <w:tcW w:type="dxa" w:w="8208"/>
            <w:vAlign w:val="center"/>
          </w:tcPr>
          <w:p>
            <w:pPr>
              <w:spacing w:after="0"/>
            </w:pPr>
            <w:r/>
            <w:r>
              <w:rPr>
                <w:b w:val="0"/>
              </w:rPr>
              <w:t>The resulting Epic/Feature/Story chain can meet the future-state Definition of Ready without relying on missing evidence.</w:t>
            </w:r>
          </w:p>
        </w:tc>
      </w:tr>
    </w:tbl>
    <w:p/>
    <w:p>
      <w:pPr>
        <w:pStyle w:val="Heading1"/>
      </w:pPr>
      <w:r>
        <w:t>15. Traceability and Evidence Classification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880"/>
            <w:vAlign w:val="center"/>
            <w:shd w:fill="D9EAD3"/>
          </w:tcPr>
          <w:p>
            <w:pPr>
              <w:spacing w:after="0"/>
            </w:pPr>
            <w:r/>
            <w:r>
              <w:rPr>
                <w:b/>
              </w:rPr>
              <w:t>Item</w:t>
            </w:r>
          </w:p>
        </w:tc>
        <w:tc>
          <w:tcPr>
            <w:tcW w:type="dxa" w:w="2736"/>
            <w:vAlign w:val="center"/>
            <w:shd w:fill="D9EAD3"/>
          </w:tcPr>
          <w:p>
            <w:pPr>
              <w:spacing w:after="0"/>
            </w:pPr>
            <w:r/>
            <w:r>
              <w:rPr>
                <w:b/>
              </w:rPr>
              <w:t>Classification</w:t>
            </w:r>
          </w:p>
        </w:tc>
        <w:tc>
          <w:tcPr>
            <w:tcW w:type="dxa" w:w="5184"/>
            <w:vAlign w:val="center"/>
            <w:shd w:fill="D9EAD3"/>
          </w:tcPr>
          <w:p>
            <w:pPr>
              <w:spacing w:after="0"/>
            </w:pPr>
            <w:r/>
            <w:r>
              <w:rPr>
                <w:b/>
              </w:rPr>
              <w:t>How it is used</w:t>
            </w:r>
          </w:p>
        </w:tc>
      </w:tr>
      <w:tr>
        <w:trPr>
          <w:cantSplit/>
        </w:trPr>
        <w:tc>
          <w:tcPr>
            <w:tcW w:type="dxa" w:w="2880"/>
            <w:vAlign w:val="center"/>
          </w:tcPr>
          <w:p>
            <w:pPr>
              <w:spacing w:after="0"/>
            </w:pPr>
            <w:r/>
            <w:r>
              <w:rPr>
                <w:b w:val="0"/>
              </w:rPr>
              <w:t>Current MVP features</w:t>
            </w:r>
          </w:p>
        </w:tc>
        <w:tc>
          <w:tcPr>
            <w:tcW w:type="dxa" w:w="2736"/>
            <w:vAlign w:val="center"/>
          </w:tcPr>
          <w:p>
            <w:pPr>
              <w:spacing w:after="0"/>
            </w:pPr>
            <w:r/>
            <w:r>
              <w:rPr>
                <w:b w:val="0"/>
              </w:rPr>
              <w:t>Existing</w:t>
            </w:r>
          </w:p>
        </w:tc>
        <w:tc>
          <w:tcPr>
            <w:tcW w:type="dxa" w:w="5184"/>
            <w:vAlign w:val="center"/>
          </w:tcPr>
          <w:p>
            <w:pPr>
              <w:spacing w:after="0"/>
            </w:pPr>
            <w:r/>
            <w:r>
              <w:rPr>
                <w:b w:val="0"/>
              </w:rPr>
              <w:t>Reference baseline only; not modified by this discovery.</w:t>
            </w:r>
          </w:p>
        </w:tc>
      </w:tr>
      <w:tr>
        <w:trPr>
          <w:cantSplit/>
        </w:trPr>
        <w:tc>
          <w:tcPr>
            <w:tcW w:type="dxa" w:w="2880"/>
            <w:vAlign w:val="center"/>
          </w:tcPr>
          <w:p>
            <w:pPr>
              <w:spacing w:after="0"/>
            </w:pPr>
            <w:r/>
            <w:r>
              <w:rPr>
                <w:b w:val="0"/>
              </w:rPr>
              <w:t>Forum response / Visual Progress Timeline</w:t>
            </w:r>
          </w:p>
        </w:tc>
        <w:tc>
          <w:tcPr>
            <w:tcW w:type="dxa" w:w="2736"/>
            <w:vAlign w:val="center"/>
          </w:tcPr>
          <w:p>
            <w:pPr>
              <w:spacing w:after="0"/>
            </w:pPr>
            <w:r/>
            <w:r>
              <w:rPr>
                <w:b w:val="0"/>
              </w:rPr>
              <w:t>Deferred</w:t>
            </w:r>
          </w:p>
        </w:tc>
        <w:tc>
          <w:tcPr>
            <w:tcW w:type="dxa" w:w="5184"/>
            <w:vAlign w:val="center"/>
          </w:tcPr>
          <w:p>
            <w:pPr>
              <w:spacing w:after="0"/>
            </w:pPr>
            <w:r/>
            <w:r>
              <w:rPr>
                <w:b w:val="0"/>
              </w:rPr>
              <w:t>Carried forward as separate future roadmap items, not absorbed into F01.</w:t>
            </w:r>
          </w:p>
        </w:tc>
      </w:tr>
      <w:tr>
        <w:trPr>
          <w:cantSplit/>
        </w:trPr>
        <w:tc>
          <w:tcPr>
            <w:tcW w:type="dxa" w:w="2880"/>
            <w:vAlign w:val="center"/>
          </w:tcPr>
          <w:p>
            <w:pPr>
              <w:spacing w:after="0"/>
            </w:pPr>
            <w:r/>
            <w:r>
              <w:rPr>
                <w:b w:val="0"/>
              </w:rPr>
              <w:t>Plant-specific care guidance</w:t>
            </w:r>
          </w:p>
        </w:tc>
        <w:tc>
          <w:tcPr>
            <w:tcW w:type="dxa" w:w="2736"/>
            <w:vAlign w:val="center"/>
          </w:tcPr>
          <w:p>
            <w:pPr>
              <w:spacing w:after="0"/>
            </w:pPr>
            <w:r/>
            <w:r>
              <w:rPr>
                <w:b w:val="0"/>
              </w:rPr>
              <w:t>New opportunity</w:t>
            </w:r>
          </w:p>
        </w:tc>
        <w:tc>
          <w:tcPr>
            <w:tcW w:type="dxa" w:w="5184"/>
            <w:vAlign w:val="center"/>
          </w:tcPr>
          <w:p>
            <w:pPr>
              <w:spacing w:after="0"/>
            </w:pPr>
            <w:r/>
            <w:r>
              <w:rPr>
                <w:b w:val="0"/>
              </w:rPr>
              <w:t>Primary EPIC-F01 discovery subject.</w:t>
            </w:r>
          </w:p>
        </w:tc>
      </w:tr>
      <w:tr>
        <w:trPr>
          <w:cantSplit/>
        </w:trPr>
        <w:tc>
          <w:tcPr>
            <w:tcW w:type="dxa" w:w="2880"/>
            <w:vAlign w:val="center"/>
          </w:tcPr>
          <w:p>
            <w:pPr>
              <w:spacing w:after="0"/>
            </w:pPr>
            <w:r/>
            <w:r>
              <w:rPr>
                <w:b w:val="0"/>
              </w:rPr>
              <w:t>Watering guidance</w:t>
            </w:r>
          </w:p>
        </w:tc>
        <w:tc>
          <w:tcPr>
            <w:tcW w:type="dxa" w:w="2736"/>
            <w:vAlign w:val="center"/>
          </w:tcPr>
          <w:p>
            <w:pPr>
              <w:spacing w:after="0"/>
            </w:pPr>
            <w:r/>
            <w:r>
              <w:rPr>
                <w:b w:val="0"/>
              </w:rPr>
              <w:t>New opportunity / candidate FR-11</w:t>
            </w:r>
          </w:p>
        </w:tc>
        <w:tc>
          <w:tcPr>
            <w:tcW w:type="dxa" w:w="5184"/>
            <w:vAlign w:val="center"/>
          </w:tcPr>
          <w:p>
            <w:pPr>
              <w:spacing w:after="0"/>
            </w:pPr>
            <w:r/>
            <w:r>
              <w:rPr>
                <w:b w:val="0"/>
              </w:rPr>
              <w:t>First deep-dive feature within F01.</w:t>
            </w:r>
          </w:p>
        </w:tc>
      </w:tr>
      <w:tr>
        <w:trPr>
          <w:cantSplit/>
        </w:trPr>
        <w:tc>
          <w:tcPr>
            <w:tcW w:type="dxa" w:w="2880"/>
            <w:vAlign w:val="center"/>
          </w:tcPr>
          <w:p>
            <w:pPr>
              <w:spacing w:after="0"/>
            </w:pPr>
            <w:r/>
            <w:r>
              <w:rPr>
                <w:b w:val="0"/>
              </w:rPr>
              <w:t>FR-10 / FR-11</w:t>
            </w:r>
          </w:p>
        </w:tc>
        <w:tc>
          <w:tcPr>
            <w:tcW w:type="dxa" w:w="2736"/>
            <w:vAlign w:val="center"/>
          </w:tcPr>
          <w:p>
            <w:pPr>
              <w:spacing w:after="0"/>
            </w:pPr>
            <w:r/>
            <w:r>
              <w:rPr>
                <w:b w:val="0"/>
              </w:rPr>
              <w:t>Future requirement candidate</w:t>
            </w:r>
          </w:p>
        </w:tc>
        <w:tc>
          <w:tcPr>
            <w:tcW w:type="dxa" w:w="5184"/>
            <w:vAlign w:val="center"/>
          </w:tcPr>
          <w:p>
            <w:pPr>
              <w:spacing w:after="0"/>
            </w:pPr>
            <w:r/>
            <w:r>
              <w:rPr>
                <w:b w:val="0"/>
              </w:rPr>
              <w:t>Not approved baseline; requires discovery closure.</w:t>
            </w:r>
          </w:p>
        </w:tc>
      </w:tr>
      <w:tr>
        <w:trPr>
          <w:cantSplit/>
        </w:trPr>
        <w:tc>
          <w:tcPr>
            <w:tcW w:type="dxa" w:w="2880"/>
            <w:vAlign w:val="center"/>
          </w:tcPr>
          <w:p>
            <w:pPr>
              <w:spacing w:after="0"/>
            </w:pPr>
            <w:r/>
            <w:r>
              <w:rPr>
                <w:b w:val="0"/>
              </w:rPr>
              <w:t>US-08</w:t>
            </w:r>
          </w:p>
        </w:tc>
        <w:tc>
          <w:tcPr>
            <w:tcW w:type="dxa" w:w="2736"/>
            <w:vAlign w:val="center"/>
          </w:tcPr>
          <w:p>
            <w:pPr>
              <w:spacing w:after="0"/>
            </w:pPr>
            <w:r/>
            <w:r>
              <w:rPr>
                <w:b w:val="0"/>
              </w:rPr>
              <w:t>Future user story candidate</w:t>
            </w:r>
          </w:p>
        </w:tc>
        <w:tc>
          <w:tcPr>
            <w:tcW w:type="dxa" w:w="5184"/>
            <w:vAlign w:val="center"/>
          </w:tcPr>
          <w:p>
            <w:pPr>
              <w:spacing w:after="0"/>
            </w:pPr>
            <w:r/>
            <w:r>
              <w:rPr>
                <w:b w:val="0"/>
              </w:rPr>
              <w:t>Not Jira-ready until acceptance logic and DoR are complete.</w:t>
            </w:r>
          </w:p>
        </w:tc>
      </w:tr>
      <w:tr>
        <w:trPr>
          <w:cantSplit/>
        </w:trPr>
        <w:tc>
          <w:tcPr>
            <w:tcW w:type="dxa" w:w="2880"/>
            <w:vAlign w:val="center"/>
          </w:tcPr>
          <w:p>
            <w:pPr>
              <w:spacing w:after="0"/>
            </w:pPr>
            <w:r/>
            <w:r>
              <w:rPr>
                <w:b w:val="0"/>
              </w:rPr>
              <w:t>Horticulture SME</w:t>
            </w:r>
          </w:p>
        </w:tc>
        <w:tc>
          <w:tcPr>
            <w:tcW w:type="dxa" w:w="2736"/>
            <w:vAlign w:val="center"/>
          </w:tcPr>
          <w:p>
            <w:pPr>
              <w:spacing w:after="0"/>
            </w:pPr>
            <w:r/>
            <w:r>
              <w:rPr>
                <w:b w:val="0"/>
              </w:rPr>
              <w:t>Governance dependency</w:t>
            </w:r>
          </w:p>
        </w:tc>
        <w:tc>
          <w:tcPr>
            <w:tcW w:type="dxa" w:w="5184"/>
            <w:vAlign w:val="center"/>
          </w:tcPr>
          <w:p>
            <w:pPr>
              <w:spacing w:after="0"/>
            </w:pPr>
            <w:r/>
            <w:r>
              <w:rPr>
                <w:b w:val="0"/>
              </w:rPr>
              <w:t>Future role only if capability is formally taken forward.</w:t>
            </w:r>
          </w:p>
        </w:tc>
      </w:tr>
      <w:tr>
        <w:trPr>
          <w:cantSplit/>
        </w:trPr>
        <w:tc>
          <w:tcPr>
            <w:tcW w:type="dxa" w:w="2880"/>
            <w:vAlign w:val="center"/>
          </w:tcPr>
          <w:p>
            <w:pPr>
              <w:spacing w:after="0"/>
            </w:pPr>
            <w:r/>
            <w:r>
              <w:rPr>
                <w:b w:val="0"/>
              </w:rPr>
              <w:t>Weather / location</w:t>
            </w:r>
          </w:p>
        </w:tc>
        <w:tc>
          <w:tcPr>
            <w:tcW w:type="dxa" w:w="2736"/>
            <w:vAlign w:val="center"/>
          </w:tcPr>
          <w:p>
            <w:pPr>
              <w:spacing w:after="0"/>
            </w:pPr>
            <w:r/>
            <w:r>
              <w:rPr>
                <w:b w:val="0"/>
              </w:rPr>
              <w:t>Cross-epic dependency</w:t>
            </w:r>
          </w:p>
        </w:tc>
        <w:tc>
          <w:tcPr>
            <w:tcW w:type="dxa" w:w="5184"/>
            <w:vAlign w:val="center"/>
          </w:tcPr>
          <w:p>
            <w:pPr>
              <w:spacing w:after="0"/>
            </w:pPr>
            <w:r/>
            <w:r>
              <w:rPr>
                <w:b w:val="0"/>
              </w:rPr>
              <w:t>Relevant to later context-aware capabilities; not silently pulled into F01 delivery scope.</w:t>
            </w:r>
          </w:p>
        </w:tc>
      </w:tr>
    </w:tbl>
    <w:p/>
    <w:p>
      <w:pPr>
        <w:pStyle w:val="Heading1"/>
      </w:pPr>
      <w:r>
        <w:t>16. Pass 2 Outcome</w:t>
      </w:r>
    </w:p>
    <w:p>
      <w:r>
        <w:t>This pass establishes EPIC-F01 as a controlled discovery candidate with a defined boundary, two features, two candidate future requirements, one candidate user story, explicit governance needs, discovery-level data and NFR themes, and a progression gate. The work is not yet a delivery commitment.</w:t>
      </w:r>
    </w:p>
    <w:p>
      <w:r>
        <w:t>Next controlled step: Pass 3 Future-State Delivery Translation, but only for the parts of EPIC-F01 that are sufficiently resolved by discovery. Any unanswered material question remains open rather than being silently converted into an assumption.</w:t>
      </w:r>
    </w:p>
    <w:p>
      <w:pPr>
        <w:pStyle w:val="Heading1"/>
      </w:pPr>
      <w:r>
        <w:t>Source Basis</w:t>
      </w:r>
    </w:p>
    <w:p>
      <w:pPr>
        <w:pStyle w:val="ListBullet"/>
      </w:pPr>
      <w:r>
        <w:t>EcoGrow Future-State Discovery baseline: Pasted markdown(10).md</w:t>
      </w:r>
    </w:p>
    <w:p>
      <w:pPr>
        <w:pStyle w:val="ListBullet"/>
      </w:pPr>
      <w:r>
        <w:t>EcoGrow Future-State Discovery | Product Vision &amp; Capability Map | Revalidated Scope</w:t>
      </w:r>
    </w:p>
    <w:p>
      <w:r>
        <w:t>This artifact preserves the terminology and boundary decisions established in those source materials. Where this pass introduces a discovery interpretation, it is labelled as a hypothesis, discovery theme, or open question rather than stated as an established fact.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EcoGrow Future-State Discovery | EPIC-F01 Smart Plant Care | Prepared by Doris Frank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