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EcoGrow Future-State Discovery</w:t>
      </w:r>
    </w:p>
    <w:p>
      <w:pPr>
        <w:jc w:val="center"/>
      </w:pPr>
      <w:r>
        <w:rPr>
          <w:b/>
          <w:sz w:val="40"/>
        </w:rPr>
        <w:t>EPIC-F01 Smart Plant Care | Delivery Translation | Pass 3</w:t>
      </w:r>
    </w:p>
    <w:p>
      <w:pPr>
        <w:jc w:val="center"/>
      </w:pPr>
      <w:r>
        <w:rPr>
          <w:i/>
        </w:rPr>
        <w:t>Prepared by Doris Frank, Business Analyst</w:t>
      </w:r>
    </w:p>
    <w:p>
      <w:pPr>
        <w:spacing w:after="80"/>
      </w:pPr>
      <w:r>
        <w:rPr>
          <w:b/>
          <w:i w:val="0"/>
        </w:rPr>
        <w:t>Status: Controlled future-state translation. This document does not amend the locked MVP, does not create Jira commitments, and does not represent approved delivery scope.</w:t>
      </w:r>
    </w:p>
    <w:p>
      <w:pPr>
        <w:spacing w:after="100"/>
      </w:pPr>
      <w:r>
        <w:rPr>
          <w:i/>
        </w:rPr>
        <w:t>Pass 3 translates only what is sufficiently resolved from Pass 2. Material unresolved governance questions remain explicit gates rather than assumptions.</w:t>
      </w:r>
    </w:p>
    <w:p>
      <w:pPr>
        <w:pStyle w:val="Heading1"/>
      </w:pPr>
      <w:r>
        <w:t>1. Translation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  <w:vAlign w:val="cente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5112"/>
            <w:shd w:fill="D9EAD3"/>
            <w:vAlign w:val="center"/>
          </w:tcPr>
          <w:p>
            <w:r>
              <w:rPr>
                <w:b/>
              </w:rPr>
              <w:t>Position</w:t>
            </w:r>
          </w:p>
        </w:tc>
      </w:tr>
      <w:tr>
        <w:tc>
          <w:tcPr>
            <w:tcW w:type="dxa" w:w="5112"/>
            <w:vAlign w:val="top"/>
          </w:tcPr>
          <w:p>
            <w:r>
              <w:t>Future-state status</w:t>
            </w:r>
          </w:p>
        </w:tc>
        <w:tc>
          <w:tcPr>
            <w:tcW w:type="dxa" w:w="5112"/>
            <w:vAlign w:val="top"/>
          </w:tcPr>
          <w:p>
            <w:r>
              <w:t>Discovery and delivery-translation preparation only</w:t>
            </w:r>
          </w:p>
        </w:tc>
      </w:tr>
      <w:tr>
        <w:tc>
          <w:tcPr>
            <w:tcW w:type="dxa" w:w="5112"/>
            <w:vAlign w:val="top"/>
          </w:tcPr>
          <w:p>
            <w:r>
              <w:t>Epic</w:t>
            </w:r>
          </w:p>
        </w:tc>
        <w:tc>
          <w:tcPr>
            <w:tcW w:type="dxa" w:w="5112"/>
            <w:vAlign w:val="top"/>
          </w:tcPr>
          <w:p>
            <w:r>
              <w:t>EPIC-F01 Smart Plant Care</w:t>
            </w:r>
          </w:p>
        </w:tc>
      </w:tr>
      <w:tr>
        <w:tc>
          <w:tcPr>
            <w:tcW w:type="dxa" w:w="5112"/>
            <w:vAlign w:val="top"/>
          </w:tcPr>
          <w:p>
            <w:r>
              <w:t>Features</w:t>
            </w:r>
          </w:p>
        </w:tc>
        <w:tc>
          <w:tcPr>
            <w:tcW w:type="dxa" w:w="5112"/>
            <w:vAlign w:val="top"/>
          </w:tcPr>
          <w:p>
            <w:r>
              <w:t>F01.1 Plant-Specific Care Guidance; F01.2 Watering Guidance</w:t>
            </w:r>
          </w:p>
        </w:tc>
      </w:tr>
      <w:tr>
        <w:tc>
          <w:tcPr>
            <w:tcW w:type="dxa" w:w="5112"/>
            <w:vAlign w:val="top"/>
          </w:tcPr>
          <w:p>
            <w:r>
              <w:t>Candidate requirements</w:t>
            </w:r>
          </w:p>
        </w:tc>
        <w:tc>
          <w:tcPr>
            <w:tcW w:type="dxa" w:w="5112"/>
            <w:vAlign w:val="top"/>
          </w:tcPr>
          <w:p>
            <w:r>
              <w:t>FR-10 and FR-11</w:t>
            </w:r>
          </w:p>
        </w:tc>
      </w:tr>
      <w:tr>
        <w:tc>
          <w:tcPr>
            <w:tcW w:type="dxa" w:w="5112"/>
            <w:vAlign w:val="top"/>
          </w:tcPr>
          <w:p>
            <w:r>
              <w:t>Candidate story</w:t>
            </w:r>
          </w:p>
        </w:tc>
        <w:tc>
          <w:tcPr>
            <w:tcW w:type="dxa" w:w="5112"/>
            <w:vAlign w:val="top"/>
          </w:tcPr>
          <w:p>
            <w:r>
              <w:t>US-08</w:t>
            </w:r>
          </w:p>
        </w:tc>
      </w:tr>
      <w:tr>
        <w:tc>
          <w:tcPr>
            <w:tcW w:type="dxa" w:w="5112"/>
            <w:vAlign w:val="top"/>
          </w:tcPr>
          <w:p>
            <w:r>
              <w:t>Jira status</w:t>
            </w:r>
          </w:p>
        </w:tc>
        <w:tc>
          <w:tcPr>
            <w:tcW w:type="dxa" w:w="5112"/>
            <w:vAlign w:val="top"/>
          </w:tcPr>
          <w:p>
            <w:r>
              <w:t>Not yet approved for Jira creation</w:t>
            </w:r>
          </w:p>
        </w:tc>
      </w:tr>
      <w:tr>
        <w:tc>
          <w:tcPr>
            <w:tcW w:type="dxa" w:w="5112"/>
            <w:vAlign w:val="top"/>
          </w:tcPr>
          <w:p>
            <w:r>
              <w:t>Primary progression blocker</w:t>
            </w:r>
          </w:p>
        </w:tc>
        <w:tc>
          <w:tcPr>
            <w:tcW w:type="dxa" w:w="5112"/>
            <w:vAlign w:val="top"/>
          </w:tcPr>
          <w:p>
            <w:r>
              <w:t>Content authority, validation owner and review model remain unresolved</w:t>
            </w:r>
          </w:p>
        </w:tc>
      </w:tr>
      <w:tr>
        <w:tc>
          <w:tcPr>
            <w:tcW w:type="dxa" w:w="5112"/>
            <w:vAlign w:val="top"/>
          </w:tcPr>
          <w:p>
            <w:r>
              <w:t>Estimation</w:t>
            </w:r>
          </w:p>
        </w:tc>
        <w:tc>
          <w:tcPr>
            <w:tcW w:type="dxa" w:w="5112"/>
            <w:vAlign w:val="top"/>
          </w:tcPr>
          <w:p>
            <w:r>
              <w:t>No Story Points until real Sprint Planning</w:t>
            </w:r>
          </w:p>
        </w:tc>
      </w:tr>
    </w:tbl>
    <w:p/>
    <w:p>
      <w:pPr>
        <w:pStyle w:val="Heading1"/>
      </w:pPr>
      <w:r>
        <w:t>2. Translation Principle</w:t>
      </w:r>
    </w:p>
    <w:p>
      <w:pPr>
        <w:spacing w:after="80"/>
      </w:pPr>
      <w:r>
        <w:rPr>
          <w:b w:val="0"/>
          <w:i w:val="0"/>
        </w:rPr>
        <w:t>I am translating EPIC-F01 into a controlled delivery structure without pretending that discovery is complete. The structure is ready to be reviewed as a potential backlog model, but it becomes Jira-ready only when the outstanding governance and acceptance gates are closed.</w:t>
      </w:r>
    </w:p>
    <w:p>
      <w:pPr>
        <w:spacing w:after="80"/>
      </w:pPr>
      <w:r>
        <w:rPr>
          <w:b w:val="0"/>
          <w:i w:val="0"/>
        </w:rPr>
        <w:t>The locked MVP remains separate. Existing MVP requirements FR-01 to FR-09, existing Stories US-01 to US-07, and deferred Forum response and Visual Progress Timeline are not absorbed into EPIC-F01.</w:t>
      </w:r>
    </w:p>
    <w:p>
      <w:pPr>
        <w:pStyle w:val="Heading1"/>
      </w:pPr>
      <w:r>
        <w:t>3. Future-State Delivery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D3"/>
            <w:vAlign w:val="center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556"/>
            <w:shd w:fill="D9EAD3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9EAD3"/>
            <w:vAlign w:val="center"/>
          </w:tcPr>
          <w:p>
            <w:r>
              <w:rPr>
                <w:b/>
              </w:rPr>
              <w:t>Translated position</w:t>
            </w:r>
          </w:p>
        </w:tc>
        <w:tc>
          <w:tcPr>
            <w:tcW w:type="dxa" w:w="2556"/>
            <w:shd w:fill="D9EAD3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top"/>
          </w:tcPr>
          <w:p>
            <w:r>
              <w:t>Epic</w:t>
            </w:r>
          </w:p>
        </w:tc>
        <w:tc>
          <w:tcPr>
            <w:tcW w:type="dxa" w:w="2556"/>
            <w:vAlign w:val="top"/>
          </w:tcPr>
          <w:p>
            <w:r>
              <w:t>EPIC-F01</w:t>
            </w:r>
          </w:p>
        </w:tc>
        <w:tc>
          <w:tcPr>
            <w:tcW w:type="dxa" w:w="2556"/>
            <w:vAlign w:val="top"/>
          </w:tcPr>
          <w:p>
            <w:r>
              <w:t>Smart Plant Care</w:t>
            </w:r>
          </w:p>
        </w:tc>
        <w:tc>
          <w:tcPr>
            <w:tcW w:type="dxa" w:w="2556"/>
            <w:vAlign w:val="top"/>
          </w:tcPr>
          <w:p>
            <w:r>
              <w:t>Discovery candidate</w:t>
            </w:r>
          </w:p>
        </w:tc>
      </w:tr>
      <w:tr>
        <w:tc>
          <w:tcPr>
            <w:tcW w:type="dxa" w:w="2556"/>
            <w:vAlign w:val="top"/>
          </w:tcPr>
          <w:p>
            <w:r>
              <w:t>Feature</w:t>
            </w:r>
          </w:p>
        </w:tc>
        <w:tc>
          <w:tcPr>
            <w:tcW w:type="dxa" w:w="2556"/>
            <w:vAlign w:val="top"/>
          </w:tcPr>
          <w:p>
            <w:r>
              <w:t>F01.1</w:t>
            </w:r>
          </w:p>
        </w:tc>
        <w:tc>
          <w:tcPr>
            <w:tcW w:type="dxa" w:w="2556"/>
            <w:vAlign w:val="top"/>
          </w:tcPr>
          <w:p>
            <w:r>
              <w:t>Plant-Specific Care Guidance</w:t>
            </w:r>
          </w:p>
        </w:tc>
        <w:tc>
          <w:tcPr>
            <w:tcW w:type="dxa" w:w="2556"/>
            <w:vAlign w:val="top"/>
          </w:tcPr>
          <w:p>
            <w:r>
              <w:t>Discovery feature</w:t>
            </w:r>
          </w:p>
        </w:tc>
      </w:tr>
      <w:tr>
        <w:tc>
          <w:tcPr>
            <w:tcW w:type="dxa" w:w="2556"/>
            <w:vAlign w:val="top"/>
          </w:tcPr>
          <w:p>
            <w:r>
              <w:t>Feature</w:t>
            </w:r>
          </w:p>
        </w:tc>
        <w:tc>
          <w:tcPr>
            <w:tcW w:type="dxa" w:w="2556"/>
            <w:vAlign w:val="top"/>
          </w:tcPr>
          <w:p>
            <w:r>
              <w:t>F01.2</w:t>
            </w:r>
          </w:p>
        </w:tc>
        <w:tc>
          <w:tcPr>
            <w:tcW w:type="dxa" w:w="2556"/>
            <w:vAlign w:val="top"/>
          </w:tcPr>
          <w:p>
            <w:r>
              <w:t>Watering Guidance</w:t>
            </w:r>
          </w:p>
        </w:tc>
        <w:tc>
          <w:tcPr>
            <w:tcW w:type="dxa" w:w="2556"/>
            <w:vAlign w:val="top"/>
          </w:tcPr>
          <w:p>
            <w:r>
              <w:t>Discovery feature</w:t>
            </w:r>
          </w:p>
        </w:tc>
      </w:tr>
      <w:tr>
        <w:tc>
          <w:tcPr>
            <w:tcW w:type="dxa" w:w="2556"/>
            <w:vAlign w:val="top"/>
          </w:tcPr>
          <w:p>
            <w:r>
              <w:t>Requirement</w:t>
            </w:r>
          </w:p>
        </w:tc>
        <w:tc>
          <w:tcPr>
            <w:tcW w:type="dxa" w:w="2556"/>
            <w:vAlign w:val="top"/>
          </w:tcPr>
          <w:p>
            <w:r>
              <w:t>FR-10</w:t>
            </w:r>
          </w:p>
        </w:tc>
        <w:tc>
          <w:tcPr>
            <w:tcW w:type="dxa" w:w="2556"/>
            <w:vAlign w:val="top"/>
          </w:tcPr>
          <w:p>
            <w:r>
              <w:t>EcoGrow shall provide plant-specific care guidance that enables gardeners to make more informed decisions about caring for their plants.</w:t>
            </w:r>
          </w:p>
        </w:tc>
        <w:tc>
          <w:tcPr>
            <w:tcW w:type="dxa" w:w="2556"/>
            <w:vAlign w:val="top"/>
          </w:tcPr>
          <w:p>
            <w:r>
              <w:t>Candidate</w:t>
            </w:r>
          </w:p>
        </w:tc>
      </w:tr>
      <w:tr>
        <w:tc>
          <w:tcPr>
            <w:tcW w:type="dxa" w:w="2556"/>
            <w:vAlign w:val="top"/>
          </w:tcPr>
          <w:p>
            <w:r>
              <w:t>Requirement</w:t>
            </w:r>
          </w:p>
        </w:tc>
        <w:tc>
          <w:tcPr>
            <w:tcW w:type="dxa" w:w="2556"/>
            <w:vAlign w:val="top"/>
          </w:tcPr>
          <w:p>
            <w:r>
              <w:t>FR-11</w:t>
            </w:r>
          </w:p>
        </w:tc>
        <w:tc>
          <w:tcPr>
            <w:tcW w:type="dxa" w:w="2556"/>
            <w:vAlign w:val="top"/>
          </w:tcPr>
          <w:p>
            <w:r>
              <w:t>EcoGrow shall provide plant-specific watering guidance to help gardeners make informed watering decisions.</w:t>
            </w:r>
          </w:p>
        </w:tc>
        <w:tc>
          <w:tcPr>
            <w:tcW w:type="dxa" w:w="2556"/>
            <w:vAlign w:val="top"/>
          </w:tcPr>
          <w:p>
            <w:r>
              <w:t>Candidate</w:t>
            </w:r>
          </w:p>
        </w:tc>
      </w:tr>
      <w:tr>
        <w:tc>
          <w:tcPr>
            <w:tcW w:type="dxa" w:w="2556"/>
            <w:vAlign w:val="top"/>
          </w:tcPr>
          <w:p>
            <w:r>
              <w:t>User Story</w:t>
            </w:r>
          </w:p>
        </w:tc>
        <w:tc>
          <w:tcPr>
            <w:tcW w:type="dxa" w:w="2556"/>
            <w:vAlign w:val="top"/>
          </w:tcPr>
          <w:p>
            <w:r>
              <w:t>US-08</w:t>
            </w:r>
          </w:p>
        </w:tc>
        <w:tc>
          <w:tcPr>
            <w:tcW w:type="dxa" w:w="2556"/>
            <w:vAlign w:val="top"/>
          </w:tcPr>
          <w:p>
            <w:r>
              <w:t>As a gardener, I want to view watering guidance for a plant so that I can make informed decisions about caring for it.</w:t>
            </w:r>
          </w:p>
        </w:tc>
        <w:tc>
          <w:tcPr>
            <w:tcW w:type="dxa" w:w="2556"/>
            <w:vAlign w:val="top"/>
          </w:tcPr>
          <w:p>
            <w:r>
              <w:t>Candidate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>Translation decision: US-08 is the first delivery-shaped story because watering guidance is the first F01 use case that has a defined user value hypothesis. FR-10 remains a broader parent requirement candidate and should not be forced into a separate story until the care-guidance scope is sufficiently decomposed.</w:t>
      </w:r>
    </w:p>
    <w:p>
      <w:pPr>
        <w:pStyle w:val="Heading1"/>
      </w:pPr>
      <w:r>
        <w:t>4. Story Boundary for US-08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  <w:vAlign w:val="center"/>
          </w:tcPr>
          <w:p>
            <w:r>
              <w:rPr>
                <w:b/>
              </w:rPr>
              <w:t>Boundary</w:t>
            </w:r>
          </w:p>
        </w:tc>
        <w:tc>
          <w:tcPr>
            <w:tcW w:type="dxa" w:w="5112"/>
            <w:shd w:fill="D9EAD3"/>
            <w:vAlign w:val="center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112"/>
            <w:vAlign w:val="top"/>
          </w:tcPr>
          <w:p>
            <w:r>
              <w:t>In scope</w:t>
            </w:r>
          </w:p>
        </w:tc>
        <w:tc>
          <w:tcPr>
            <w:tcW w:type="dxa" w:w="5112"/>
            <w:vAlign w:val="top"/>
          </w:tcPr>
          <w:p>
            <w:r>
              <w:t>Select or identify a plant and view plant-specific watering guidance.</w:t>
            </w:r>
          </w:p>
        </w:tc>
      </w:tr>
      <w:tr>
        <w:tc>
          <w:tcPr>
            <w:tcW w:type="dxa" w:w="5112"/>
            <w:vAlign w:val="top"/>
          </w:tcPr>
          <w:p>
            <w:r>
              <w:t>In scope</w:t>
            </w:r>
          </w:p>
        </w:tc>
        <w:tc>
          <w:tcPr>
            <w:tcW w:type="dxa" w:w="5112"/>
            <w:vAlign w:val="top"/>
          </w:tcPr>
          <w:p>
            <w:r>
              <w:t>Display the conditions, limitations or uncertainty attached to the guidance.</w:t>
            </w:r>
          </w:p>
        </w:tc>
      </w:tr>
      <w:tr>
        <w:tc>
          <w:tcPr>
            <w:tcW w:type="dxa" w:w="5112"/>
            <w:vAlign w:val="top"/>
          </w:tcPr>
          <w:p>
            <w:r>
              <w:t>In scope</w:t>
            </w:r>
          </w:p>
        </w:tc>
        <w:tc>
          <w:tcPr>
            <w:tcW w:type="dxa" w:w="5112"/>
            <w:vAlign w:val="top"/>
          </w:tcPr>
          <w:p>
            <w:r>
              <w:t>Use an approved content source or validated content set once the authority model is confirmed.</w:t>
            </w:r>
          </w:p>
        </w:tc>
      </w:tr>
      <w:tr>
        <w:tc>
          <w:tcPr>
            <w:tcW w:type="dxa" w:w="5112"/>
            <w:vAlign w:val="top"/>
          </w:tcPr>
          <w:p>
            <w:r>
              <w:t>Not in scope</w:t>
            </w:r>
          </w:p>
        </w:tc>
        <w:tc>
          <w:tcPr>
            <w:tcW w:type="dxa" w:w="5112"/>
            <w:vAlign w:val="top"/>
          </w:tcPr>
          <w:p>
            <w:r>
              <w:t>Weather forecast integration or severe-weather alerts.</w:t>
            </w:r>
          </w:p>
        </w:tc>
      </w:tr>
      <w:tr>
        <w:tc>
          <w:tcPr>
            <w:tcW w:type="dxa" w:w="5112"/>
            <w:vAlign w:val="top"/>
          </w:tcPr>
          <w:p>
            <w:r>
              <w:t>Not in scope</w:t>
            </w:r>
          </w:p>
        </w:tc>
        <w:tc>
          <w:tcPr>
            <w:tcW w:type="dxa" w:w="5112"/>
            <w:vAlign w:val="top"/>
          </w:tcPr>
          <w:p>
            <w:r>
              <w:t>Plant disease or pest identification, treatment or chemical recommendations.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Not in scope</w:t>
            </w:r>
          </w:p>
        </w:tc>
        <w:tc>
          <w:tcPr>
            <w:tcW w:type="dxa" w:w="5112"/>
            <w:vAlign w:val="top"/>
          </w:tcPr>
          <w:p>
            <w:r>
              <w:t>Personalised reminders or garden profiles.</w:t>
            </w:r>
          </w:p>
        </w:tc>
      </w:tr>
      <w:tr>
        <w:tc>
          <w:tcPr>
            <w:tcW w:type="dxa" w:w="5112"/>
            <w:vAlign w:val="top"/>
          </w:tcPr>
          <w:p>
            <w:r>
              <w:t>Not in scope</w:t>
            </w:r>
          </w:p>
        </w:tc>
        <w:tc>
          <w:tcPr>
            <w:tcW w:type="dxa" w:w="5112"/>
            <w:vAlign w:val="top"/>
          </w:tcPr>
          <w:p>
            <w:r>
              <w:t>A generic fixed watering schedule presented as universally correct.</w:t>
            </w:r>
          </w:p>
        </w:tc>
      </w:tr>
    </w:tbl>
    <w:p/>
    <w:p>
      <w:pPr>
        <w:pStyle w:val="Heading1"/>
      </w:pPr>
      <w:r>
        <w:t>5. Acceptance Logic Translation</w:t>
      </w:r>
    </w:p>
    <w:p>
      <w:pPr>
        <w:spacing w:after="80"/>
      </w:pPr>
      <w:r>
        <w:rPr>
          <w:b w:val="0"/>
          <w:i w:val="0"/>
        </w:rPr>
        <w:t>The following is an acceptance-logic framework, not final acceptance criteria. I am preserving the Pass 2 decision that criteria must not be frozen until the authoritative source, required inputs, conditions and review model are confirmed.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Acceptance area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Delivery translation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3408"/>
            <w:vAlign w:val="top"/>
          </w:tcPr>
          <w:p>
            <w:r>
              <w:t>Plant identity</w:t>
            </w:r>
          </w:p>
        </w:tc>
        <w:tc>
          <w:tcPr>
            <w:tcW w:type="dxa" w:w="3408"/>
            <w:vAlign w:val="top"/>
          </w:tcPr>
          <w:p>
            <w:r>
              <w:t>Guidance must be tied to the selected or identified plant.</w:t>
            </w:r>
          </w:p>
        </w:tc>
        <w:tc>
          <w:tcPr>
            <w:tcW w:type="dxa" w:w="3408"/>
            <w:vAlign w:val="top"/>
          </w:tcPr>
          <w:p>
            <w:r>
              <w:t>Confirm identification model</w:t>
            </w:r>
          </w:p>
        </w:tc>
      </w:tr>
      <w:tr>
        <w:tc>
          <w:tcPr>
            <w:tcW w:type="dxa" w:w="3408"/>
            <w:vAlign w:val="top"/>
          </w:tcPr>
          <w:p>
            <w:r>
              <w:t>Guidance content</w:t>
            </w:r>
          </w:p>
        </w:tc>
        <w:tc>
          <w:tcPr>
            <w:tcW w:type="dxa" w:w="3408"/>
            <w:vAlign w:val="top"/>
          </w:tcPr>
          <w:p>
            <w:r>
              <w:t>Watering guidance must be presented in a form the gardener can act on.</w:t>
            </w:r>
          </w:p>
        </w:tc>
        <w:tc>
          <w:tcPr>
            <w:tcW w:type="dxa" w:w="3408"/>
            <w:vAlign w:val="top"/>
          </w:tcPr>
          <w:p>
            <w:r>
              <w:t>Confirm approved content and authority</w:t>
            </w:r>
          </w:p>
        </w:tc>
      </w:tr>
      <w:tr>
        <w:tc>
          <w:tcPr>
            <w:tcW w:type="dxa" w:w="3408"/>
            <w:vAlign w:val="top"/>
          </w:tcPr>
          <w:p>
            <w:r>
              <w:t>Conditions</w:t>
            </w:r>
          </w:p>
        </w:tc>
        <w:tc>
          <w:tcPr>
            <w:tcW w:type="dxa" w:w="3408"/>
            <w:vAlign w:val="top"/>
          </w:tcPr>
          <w:p>
            <w:r>
              <w:t>Relevant conditions that materially change the guidance must be represented or explicitly bounded.</w:t>
            </w:r>
          </w:p>
        </w:tc>
        <w:tc>
          <w:tcPr>
            <w:tcW w:type="dxa" w:w="3408"/>
            <w:vAlign w:val="top"/>
          </w:tcPr>
          <w:p>
            <w:r>
              <w:t>Validate required inputs</w:t>
            </w:r>
          </w:p>
        </w:tc>
      </w:tr>
      <w:tr>
        <w:tc>
          <w:tcPr>
            <w:tcW w:type="dxa" w:w="3408"/>
            <w:vAlign w:val="top"/>
          </w:tcPr>
          <w:p>
            <w:r>
              <w:t>Uncertainty</w:t>
            </w:r>
          </w:p>
        </w:tc>
        <w:tc>
          <w:tcPr>
            <w:tcW w:type="dxa" w:w="3408"/>
            <w:vAlign w:val="top"/>
          </w:tcPr>
          <w:p>
            <w:r>
              <w:t>The experience must communicate meaningful variability, missing data or limitations.</w:t>
            </w:r>
          </w:p>
        </w:tc>
        <w:tc>
          <w:tcPr>
            <w:tcW w:type="dxa" w:w="3408"/>
            <w:vAlign w:val="top"/>
          </w:tcPr>
          <w:p>
            <w:r>
              <w:t>Define content and UX rule</w:t>
            </w:r>
          </w:p>
        </w:tc>
      </w:tr>
      <w:tr>
        <w:tc>
          <w:tcPr>
            <w:tcW w:type="dxa" w:w="3408"/>
            <w:vAlign w:val="top"/>
          </w:tcPr>
          <w:p>
            <w:r>
              <w:t>Content safety</w:t>
            </w:r>
          </w:p>
        </w:tc>
        <w:tc>
          <w:tcPr>
            <w:tcW w:type="dxa" w:w="3408"/>
            <w:vAlign w:val="top"/>
          </w:tcPr>
          <w:p>
            <w:r>
              <w:t>The feature must not claim unsupported certainty or provide out-of-bound treatment advice.</w:t>
            </w:r>
          </w:p>
        </w:tc>
        <w:tc>
          <w:tcPr>
            <w:tcW w:type="dxa" w:w="3408"/>
            <w:vAlign w:val="top"/>
          </w:tcPr>
          <w:p>
            <w:r>
              <w:t>Confirm content policy</w:t>
            </w:r>
          </w:p>
        </w:tc>
      </w:tr>
      <w:tr>
        <w:tc>
          <w:tcPr>
            <w:tcW w:type="dxa" w:w="3408"/>
            <w:vAlign w:val="top"/>
          </w:tcPr>
          <w:p>
            <w:r>
              <w:t>Review</w:t>
            </w:r>
          </w:p>
        </w:tc>
        <w:tc>
          <w:tcPr>
            <w:tcW w:type="dxa" w:w="3408"/>
            <w:vAlign w:val="top"/>
          </w:tcPr>
          <w:p>
            <w:r>
              <w:t>Guidance must have an identified validation and change-review path before release.</w:t>
            </w:r>
          </w:p>
        </w:tc>
        <w:tc>
          <w:tcPr>
            <w:tcW w:type="dxa" w:w="3408"/>
            <w:vAlign w:val="top"/>
          </w:tcPr>
          <w:p>
            <w:r>
              <w:t>Confirm owner and lifecycle</w:t>
            </w:r>
          </w:p>
        </w:tc>
      </w:tr>
    </w:tbl>
    <w:p/>
    <w:p>
      <w:pPr>
        <w:spacing w:after="100"/>
      </w:pPr>
      <w:r>
        <w:rPr>
          <w:i/>
        </w:rPr>
        <w:t>Formal Gherkin-style acceptance criteria are intentionally deferred. Writing them now would turn unresolved governance decisions into invented requirements.</w:t>
      </w:r>
    </w:p>
    <w:p>
      <w:pPr>
        <w:pStyle w:val="Heading1"/>
      </w:pPr>
      <w:r>
        <w:t>6. Non-Functional Requirement Translation</w:t>
      </w:r>
    </w:p>
    <w:p>
      <w:pPr>
        <w:spacing w:after="80"/>
      </w:pPr>
      <w:r>
        <w:rPr>
          <w:b w:val="0"/>
          <w:i w:val="0"/>
        </w:rPr>
        <w:t>No NFR IDs are created yet. The following themes are translated into future-ready quality requirements that must be specified once the feature boundary is approved.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NFR theme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Translation for F01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Current state</w:t>
            </w:r>
          </w:p>
        </w:tc>
      </w:tr>
      <w:tr>
        <w:tc>
          <w:tcPr>
            <w:tcW w:type="dxa" w:w="3408"/>
            <w:vAlign w:val="top"/>
          </w:tcPr>
          <w:p>
            <w:r>
              <w:t>Accuracy and content quality</w:t>
            </w:r>
          </w:p>
        </w:tc>
        <w:tc>
          <w:tcPr>
            <w:tcW w:type="dxa" w:w="3408"/>
            <w:vAlign w:val="top"/>
          </w:tcPr>
          <w:p>
            <w:r>
              <w:t>Guidance must meet an agreed content-authority standard.</w:t>
            </w:r>
          </w:p>
        </w:tc>
        <w:tc>
          <w:tcPr>
            <w:tcW w:type="dxa" w:w="3408"/>
            <w:vAlign w:val="top"/>
          </w:tcPr>
          <w:p>
            <w:r>
              <w:t>Gate</w:t>
            </w:r>
          </w:p>
        </w:tc>
      </w:tr>
      <w:tr>
        <w:tc>
          <w:tcPr>
            <w:tcW w:type="dxa" w:w="3408"/>
            <w:vAlign w:val="top"/>
          </w:tcPr>
          <w:p>
            <w:r>
              <w:t>Timeliness and maintainability</w:t>
            </w:r>
          </w:p>
        </w:tc>
        <w:tc>
          <w:tcPr>
            <w:tcW w:type="dxa" w:w="3408"/>
            <w:vAlign w:val="top"/>
          </w:tcPr>
          <w:p>
            <w:r>
              <w:t>Content changes must be reviewable, traceable and controllable.</w:t>
            </w:r>
          </w:p>
        </w:tc>
        <w:tc>
          <w:tcPr>
            <w:tcW w:type="dxa" w:w="3408"/>
            <w:vAlign w:val="top"/>
          </w:tcPr>
          <w:p>
            <w:r>
              <w:t>Gate</w:t>
            </w:r>
          </w:p>
        </w:tc>
      </w:tr>
      <w:tr>
        <w:tc>
          <w:tcPr>
            <w:tcW w:type="dxa" w:w="3408"/>
            <w:vAlign w:val="top"/>
          </w:tcPr>
          <w:p>
            <w:r>
              <w:t>Explainability</w:t>
            </w:r>
          </w:p>
        </w:tc>
        <w:tc>
          <w:tcPr>
            <w:tcW w:type="dxa" w:w="3408"/>
            <w:vAlign w:val="top"/>
          </w:tcPr>
          <w:p>
            <w:r>
              <w:t>The gardener must understand what the guidance means and when it may not apply.</w:t>
            </w:r>
          </w:p>
        </w:tc>
        <w:tc>
          <w:tcPr>
            <w:tcW w:type="dxa" w:w="3408"/>
            <w:vAlign w:val="top"/>
          </w:tcPr>
          <w:p>
            <w:r>
              <w:t>Candidate NFR theme</w:t>
            </w:r>
          </w:p>
        </w:tc>
      </w:tr>
      <w:tr>
        <w:tc>
          <w:tcPr>
            <w:tcW w:type="dxa" w:w="3408"/>
            <w:vAlign w:val="top"/>
          </w:tcPr>
          <w:p>
            <w:r>
              <w:t>Availability and performance</w:t>
            </w:r>
          </w:p>
        </w:tc>
        <w:tc>
          <w:tcPr>
            <w:tcW w:type="dxa" w:w="3408"/>
            <w:vAlign w:val="top"/>
          </w:tcPr>
          <w:p>
            <w:r>
              <w:t>Guidance should load within an agreed service expectation once implemented.</w:t>
            </w:r>
          </w:p>
        </w:tc>
        <w:tc>
          <w:tcPr>
            <w:tcW w:type="dxa" w:w="3408"/>
            <w:vAlign w:val="top"/>
          </w:tcPr>
          <w:p>
            <w:r>
              <w:t>Target to define</w:t>
            </w:r>
          </w:p>
        </w:tc>
      </w:tr>
      <w:tr>
        <w:tc>
          <w:tcPr>
            <w:tcW w:type="dxa" w:w="3408"/>
            <w:vAlign w:val="top"/>
          </w:tcPr>
          <w:p>
            <w:r>
              <w:t>Privacy</w:t>
            </w:r>
          </w:p>
        </w:tc>
        <w:tc>
          <w:tcPr>
            <w:tcW w:type="dxa" w:w="3408"/>
            <w:vAlign w:val="top"/>
          </w:tcPr>
          <w:p>
            <w:r>
              <w:t>No location or personalisation data is required by US-08 unless later evidence justifies it.</w:t>
            </w:r>
          </w:p>
        </w:tc>
        <w:tc>
          <w:tcPr>
            <w:tcW w:type="dxa" w:w="3408"/>
            <w:vAlign w:val="top"/>
          </w:tcPr>
          <w:p>
            <w:r>
              <w:t>Boundary</w:t>
            </w:r>
          </w:p>
        </w:tc>
      </w:tr>
      <w:tr>
        <w:tc>
          <w:tcPr>
            <w:tcW w:type="dxa" w:w="3408"/>
            <w:vAlign w:val="top"/>
          </w:tcPr>
          <w:p>
            <w:r>
              <w:t>Observability</w:t>
            </w:r>
          </w:p>
        </w:tc>
        <w:tc>
          <w:tcPr>
            <w:tcW w:type="dxa" w:w="3408"/>
            <w:vAlign w:val="top"/>
          </w:tcPr>
          <w:p>
            <w:r>
              <w:t>Usage and usefulness should be measurable after real delivery.</w:t>
            </w:r>
          </w:p>
        </w:tc>
        <w:tc>
          <w:tcPr>
            <w:tcW w:type="dxa" w:w="3408"/>
            <w:vAlign w:val="top"/>
          </w:tcPr>
          <w:p>
            <w:r>
              <w:t>Future analytics requirement</w:t>
            </w:r>
          </w:p>
        </w:tc>
      </w:tr>
    </w:tbl>
    <w:p/>
    <w:p>
      <w:pPr>
        <w:pStyle w:val="Heading1"/>
      </w:pPr>
      <w:r>
        <w:t>7. Data and Content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Requirement area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Translated need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08"/>
            <w:vAlign w:val="top"/>
          </w:tcPr>
          <w:p>
            <w:r>
              <w:t>Plant identity</w:t>
            </w:r>
          </w:p>
        </w:tc>
        <w:tc>
          <w:tcPr>
            <w:tcW w:type="dxa" w:w="3408"/>
            <w:vAlign w:val="top"/>
          </w:tcPr>
          <w:p>
            <w:r>
              <w:t>A reliable identifier or selection method for the plant.</w:t>
            </w:r>
          </w:p>
        </w:tc>
        <w:tc>
          <w:tcPr>
            <w:tcW w:type="dxa" w:w="3408"/>
            <w:vAlign w:val="top"/>
          </w:tcPr>
          <w:p>
            <w:r>
              <w:t>Required discovery input</w:t>
            </w:r>
          </w:p>
        </w:tc>
      </w:tr>
      <w:tr>
        <w:tc>
          <w:tcPr>
            <w:tcW w:type="dxa" w:w="3408"/>
            <w:vAlign w:val="top"/>
          </w:tcPr>
          <w:p>
            <w:r>
              <w:t>Plant attributes</w:t>
            </w:r>
          </w:p>
        </w:tc>
        <w:tc>
          <w:tcPr>
            <w:tcW w:type="dxa" w:w="3408"/>
            <w:vAlign w:val="top"/>
          </w:tcPr>
          <w:p>
            <w:r>
              <w:t>Relevant plant type or characteristics that affect watering guidance.</w:t>
            </w:r>
          </w:p>
        </w:tc>
        <w:tc>
          <w:tcPr>
            <w:tcW w:type="dxa" w:w="3408"/>
            <w:vAlign w:val="top"/>
          </w:tcPr>
          <w:p>
            <w:r>
              <w:t>To validate</w:t>
            </w:r>
          </w:p>
        </w:tc>
      </w:tr>
      <w:tr>
        <w:tc>
          <w:tcPr>
            <w:tcW w:type="dxa" w:w="3408"/>
            <w:vAlign w:val="top"/>
          </w:tcPr>
          <w:p>
            <w:r>
              <w:t>Watering knowledge</w:t>
            </w:r>
          </w:p>
        </w:tc>
        <w:tc>
          <w:tcPr>
            <w:tcW w:type="dxa" w:w="3408"/>
            <w:vAlign w:val="top"/>
          </w:tcPr>
          <w:p>
            <w:r>
              <w:t>Approved watering guidance tied to the plant.</w:t>
            </w:r>
          </w:p>
        </w:tc>
        <w:tc>
          <w:tcPr>
            <w:tcW w:type="dxa" w:w="3408"/>
            <w:vAlign w:val="top"/>
          </w:tcPr>
          <w:p>
            <w:r>
              <w:t>Blocked by content authority</w:t>
            </w:r>
          </w:p>
        </w:tc>
      </w:tr>
      <w:tr>
        <w:tc>
          <w:tcPr>
            <w:tcW w:type="dxa" w:w="3408"/>
            <w:vAlign w:val="top"/>
          </w:tcPr>
          <w:p>
            <w:r>
              <w:t>Conditional factors</w:t>
            </w:r>
          </w:p>
        </w:tc>
        <w:tc>
          <w:tcPr>
            <w:tcW w:type="dxa" w:w="3408"/>
            <w:vAlign w:val="top"/>
          </w:tcPr>
          <w:p>
            <w:r>
              <w:t>Soil/moisture, season and other materially relevant factors where evidenced.</w:t>
            </w:r>
          </w:p>
        </w:tc>
        <w:tc>
          <w:tcPr>
            <w:tcW w:type="dxa" w:w="3408"/>
            <w:vAlign w:val="top"/>
          </w:tcPr>
          <w:p>
            <w:r>
              <w:t>To validate</w:t>
            </w:r>
          </w:p>
        </w:tc>
      </w:tr>
      <w:tr>
        <w:tc>
          <w:tcPr>
            <w:tcW w:type="dxa" w:w="3408"/>
            <w:vAlign w:val="top"/>
          </w:tcPr>
          <w:p>
            <w:r>
              <w:t>Content metadata</w:t>
            </w:r>
          </w:p>
        </w:tc>
        <w:tc>
          <w:tcPr>
            <w:tcW w:type="dxa" w:w="3408"/>
            <w:vAlign w:val="top"/>
          </w:tcPr>
          <w:p>
            <w:r>
              <w:t>Source, owner, validation date, review status and change history.</w:t>
            </w:r>
          </w:p>
        </w:tc>
        <w:tc>
          <w:tcPr>
            <w:tcW w:type="dxa" w:w="3408"/>
            <w:vAlign w:val="top"/>
          </w:tcPr>
          <w:p>
            <w:r>
              <w:t>Governance dependency</w:t>
            </w:r>
          </w:p>
        </w:tc>
      </w:tr>
      <w:tr>
        <w:tc>
          <w:tcPr>
            <w:tcW w:type="dxa" w:w="3408"/>
            <w:vAlign w:val="top"/>
          </w:tcPr>
          <w:p>
            <w:r>
              <w:t>Analytics</w:t>
            </w:r>
          </w:p>
        </w:tc>
        <w:tc>
          <w:tcPr>
            <w:tcW w:type="dxa" w:w="3408"/>
            <w:vAlign w:val="top"/>
          </w:tcPr>
          <w:p>
            <w:r>
              <w:t>Events to measure real feature usage and usefulness after delivery.</w:t>
            </w:r>
          </w:p>
        </w:tc>
        <w:tc>
          <w:tcPr>
            <w:tcW w:type="dxa" w:w="3408"/>
            <w:vAlign w:val="top"/>
          </w:tcPr>
          <w:p>
            <w:r>
              <w:t>Future delivery input</w:t>
            </w:r>
          </w:p>
        </w:tc>
      </w:tr>
    </w:tbl>
    <w:p/>
    <w:p>
      <w:pPr>
        <w:pStyle w:val="Heading1"/>
      </w:pPr>
      <w:r>
        <w:t>8. Stakeholder and Governance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Delivery relevance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08"/>
            <w:vAlign w:val="top"/>
          </w:tcPr>
          <w:p>
            <w:r>
              <w:t>Gardener</w:t>
            </w:r>
          </w:p>
        </w:tc>
        <w:tc>
          <w:tcPr>
            <w:tcW w:type="dxa" w:w="3408"/>
            <w:vAlign w:val="top"/>
          </w:tcPr>
          <w:p>
            <w:r>
              <w:t>Consumes watering guidance and makes the care decision.</w:t>
            </w:r>
          </w:p>
        </w:tc>
        <w:tc>
          <w:tcPr>
            <w:tcW w:type="dxa" w:w="3408"/>
            <w:vAlign w:val="top"/>
          </w:tcPr>
          <w:p>
            <w:r>
              <w:t>Primary persona</w:t>
            </w:r>
          </w:p>
        </w:tc>
      </w:tr>
      <w:tr>
        <w:tc>
          <w:tcPr>
            <w:tcW w:type="dxa" w:w="3408"/>
            <w:vAlign w:val="top"/>
          </w:tcPr>
          <w:p>
            <w:r>
              <w:t>Product Owner / GreenSphere decision authority</w:t>
            </w:r>
          </w:p>
        </w:tc>
        <w:tc>
          <w:tcPr>
            <w:tcW w:type="dxa" w:w="3408"/>
            <w:vAlign w:val="top"/>
          </w:tcPr>
          <w:p>
            <w:r>
              <w:t>Confirms value, scope, priority and acceptance.</w:t>
            </w:r>
          </w:p>
        </w:tc>
        <w:tc>
          <w:tcPr>
            <w:tcW w:type="dxa" w:w="3408"/>
            <w:vAlign w:val="top"/>
          </w:tcPr>
          <w:p>
            <w:r>
              <w:t>Governance role</w:t>
            </w:r>
          </w:p>
        </w:tc>
      </w:tr>
      <w:tr>
        <w:tc>
          <w:tcPr>
            <w:tcW w:type="dxa" w:w="3408"/>
            <w:vAlign w:val="top"/>
          </w:tcPr>
          <w:p>
            <w:r>
              <w:t>Plant Science / Horticulture SME</w:t>
            </w:r>
          </w:p>
        </w:tc>
        <w:tc>
          <w:tcPr>
            <w:tcW w:type="dxa" w:w="3408"/>
            <w:vAlign w:val="top"/>
          </w:tcPr>
          <w:p>
            <w:r>
              <w:t>Validates plant-care and watering content if the capability progresses.</w:t>
            </w:r>
          </w:p>
        </w:tc>
        <w:tc>
          <w:tcPr>
            <w:tcW w:type="dxa" w:w="3408"/>
            <w:vAlign w:val="top"/>
          </w:tcPr>
          <w:p>
            <w:r>
              <w:t>Required governance dependency, not yet an MVP stakeholder entry</w:t>
            </w:r>
          </w:p>
        </w:tc>
      </w:tr>
      <w:tr>
        <w:tc>
          <w:tcPr>
            <w:tcW w:type="dxa" w:w="3408"/>
            <w:vAlign w:val="top"/>
          </w:tcPr>
          <w:p>
            <w:r>
              <w:t>Engineering / Data / Platform</w:t>
            </w:r>
          </w:p>
        </w:tc>
        <w:tc>
          <w:tcPr>
            <w:tcW w:type="dxa" w:w="3408"/>
            <w:vAlign w:val="top"/>
          </w:tcPr>
          <w:p>
            <w:r>
              <w:t>Determines implementation, data model and operational feasibility.</w:t>
            </w:r>
          </w:p>
        </w:tc>
        <w:tc>
          <w:tcPr>
            <w:tcW w:type="dxa" w:w="3408"/>
            <w:vAlign w:val="top"/>
          </w:tcPr>
          <w:p>
            <w:r>
              <w:t>Delivery dependency, ownership TBD</w:t>
            </w:r>
          </w:p>
        </w:tc>
      </w:tr>
      <w:tr>
        <w:tc>
          <w:tcPr>
            <w:tcW w:type="dxa" w:w="3408"/>
            <w:vAlign w:val="top"/>
          </w:tcPr>
          <w:p>
            <w:r>
              <w:t>Specialist Plant Protection / Pest Management</w:t>
            </w:r>
          </w:p>
        </w:tc>
        <w:tc>
          <w:tcPr>
            <w:tcW w:type="dxa" w:w="3408"/>
            <w:vAlign w:val="top"/>
          </w:tcPr>
          <w:p>
            <w:r>
              <w:t>Only relevant if F01 expands into pest, treatment or chemical guidance.</w:t>
            </w:r>
          </w:p>
        </w:tc>
        <w:tc>
          <w:tcPr>
            <w:tcW w:type="dxa" w:w="3408"/>
            <w:vAlign w:val="top"/>
          </w:tcPr>
          <w:p>
            <w:r>
              <w:t>Outside F01 boundary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>I am not adding the Horticulture SME to the existing MVP stakeholder register. The role is identified here because F01 creates a genuine future governance need, consistent with the standing stakeholder rule.</w:t>
      </w:r>
    </w:p>
    <w:p>
      <w:pPr>
        <w:pStyle w:val="Heading1"/>
      </w:pPr>
      <w:r>
        <w:t>9. Dependencies and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Impacts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Resolution needed</w:t>
            </w:r>
          </w:p>
        </w:tc>
      </w:tr>
      <w:tr>
        <w:tc>
          <w:tcPr>
            <w:tcW w:type="dxa" w:w="3408"/>
            <w:vAlign w:val="top"/>
          </w:tcPr>
          <w:p>
            <w:r>
              <w:t>Content authority</w:t>
            </w:r>
          </w:p>
        </w:tc>
        <w:tc>
          <w:tcPr>
            <w:tcW w:type="dxa" w:w="3408"/>
            <w:vAlign w:val="top"/>
          </w:tcPr>
          <w:p>
            <w:r>
              <w:t>FR-10, FR-11, US-08, acceptance criteria</w:t>
            </w:r>
          </w:p>
        </w:tc>
        <w:tc>
          <w:tcPr>
            <w:tcW w:type="dxa" w:w="3408"/>
            <w:vAlign w:val="top"/>
          </w:tcPr>
          <w:p>
            <w:r>
              <w:t>Named owner or approver plus review model</w:t>
            </w:r>
          </w:p>
        </w:tc>
      </w:tr>
      <w:tr>
        <w:tc>
          <w:tcPr>
            <w:tcW w:type="dxa" w:w="3408"/>
            <w:vAlign w:val="top"/>
          </w:tcPr>
          <w:p>
            <w:r>
              <w:t>Plant knowledge source</w:t>
            </w:r>
          </w:p>
        </w:tc>
        <w:tc>
          <w:tcPr>
            <w:tcW w:type="dxa" w:w="3408"/>
            <w:vAlign w:val="top"/>
          </w:tcPr>
          <w:p>
            <w:r>
              <w:t>FR-10, FR-11</w:t>
            </w:r>
          </w:p>
        </w:tc>
        <w:tc>
          <w:tcPr>
            <w:tcW w:type="dxa" w:w="3408"/>
            <w:vAlign w:val="top"/>
          </w:tcPr>
          <w:p>
            <w:r>
              <w:t>Define authoritative source and content structure</w:t>
            </w:r>
          </w:p>
        </w:tc>
      </w:tr>
      <w:tr>
        <w:tc>
          <w:tcPr>
            <w:tcW w:type="dxa" w:w="3408"/>
            <w:vAlign w:val="top"/>
          </w:tcPr>
          <w:p>
            <w:r>
              <w:t>Required plant/context inputs</w:t>
            </w:r>
          </w:p>
        </w:tc>
        <w:tc>
          <w:tcPr>
            <w:tcW w:type="dxa" w:w="3408"/>
            <w:vAlign w:val="top"/>
          </w:tcPr>
          <w:p>
            <w:r>
              <w:t>FR-11 and acceptance logic</w:t>
            </w:r>
          </w:p>
        </w:tc>
        <w:tc>
          <w:tcPr>
            <w:tcW w:type="dxa" w:w="3408"/>
            <w:vAlign w:val="top"/>
          </w:tcPr>
          <w:p>
            <w:r>
              <w:t>Confirm minimum reliable input set</w:t>
            </w:r>
          </w:p>
        </w:tc>
      </w:tr>
      <w:tr>
        <w:tc>
          <w:tcPr>
            <w:tcW w:type="dxa" w:w="3408"/>
            <w:vAlign w:val="top"/>
          </w:tcPr>
          <w:p>
            <w:r>
              <w:t>Content lifecycle</w:t>
            </w:r>
          </w:p>
        </w:tc>
        <w:tc>
          <w:tcPr>
            <w:tcW w:type="dxa" w:w="3408"/>
            <w:vAlign w:val="top"/>
          </w:tcPr>
          <w:p>
            <w:r>
              <w:t>Release and maintenance of guidance</w:t>
            </w:r>
          </w:p>
        </w:tc>
        <w:tc>
          <w:tcPr>
            <w:tcW w:type="dxa" w:w="3408"/>
            <w:vAlign w:val="top"/>
          </w:tcPr>
          <w:p>
            <w:r>
              <w:t>Define creation, validation, review and retirement</w:t>
            </w:r>
          </w:p>
        </w:tc>
      </w:tr>
      <w:tr>
        <w:tc>
          <w:tcPr>
            <w:tcW w:type="dxa" w:w="3408"/>
            <w:vAlign w:val="top"/>
          </w:tcPr>
          <w:p>
            <w:r>
              <w:t>Future weather context</w:t>
            </w:r>
          </w:p>
        </w:tc>
        <w:tc>
          <w:tcPr>
            <w:tcW w:type="dxa" w:w="3408"/>
            <w:vAlign w:val="top"/>
          </w:tcPr>
          <w:p>
            <w:r>
              <w:t>Later contextual care capabilities</w:t>
            </w:r>
          </w:p>
        </w:tc>
        <w:tc>
          <w:tcPr>
            <w:tcW w:type="dxa" w:w="3408"/>
            <w:vAlign w:val="top"/>
          </w:tcPr>
          <w:p>
            <w:r>
              <w:t>Keep in EPIC-F02</w:t>
            </w:r>
          </w:p>
        </w:tc>
      </w:tr>
      <w:tr>
        <w:tc>
          <w:tcPr>
            <w:tcW w:type="dxa" w:w="3408"/>
            <w:vAlign w:val="top"/>
          </w:tcPr>
          <w:p>
            <w:r>
              <w:t>Personalisation</w:t>
            </w:r>
          </w:p>
        </w:tc>
        <w:tc>
          <w:tcPr>
            <w:tcW w:type="dxa" w:w="3408"/>
            <w:vAlign w:val="top"/>
          </w:tcPr>
          <w:p>
            <w:r>
              <w:t>Future user-specific care/reminders</w:t>
            </w:r>
          </w:p>
        </w:tc>
        <w:tc>
          <w:tcPr>
            <w:tcW w:type="dxa" w:w="3408"/>
            <w:vAlign w:val="top"/>
          </w:tcPr>
          <w:p>
            <w:r>
              <w:t>Keep in EPIC-F05</w:t>
            </w:r>
          </w:p>
        </w:tc>
      </w:tr>
      <w:tr>
        <w:tc>
          <w:tcPr>
            <w:tcW w:type="dxa" w:w="3408"/>
            <w:vAlign w:val="top"/>
          </w:tcPr>
          <w:p>
            <w:r>
              <w:t>Plant health/treatment</w:t>
            </w:r>
          </w:p>
        </w:tc>
        <w:tc>
          <w:tcPr>
            <w:tcW w:type="dxa" w:w="3408"/>
            <w:vAlign w:val="top"/>
          </w:tcPr>
          <w:p>
            <w:r>
              <w:t>Future safety-sensitive guidance</w:t>
            </w:r>
          </w:p>
        </w:tc>
        <w:tc>
          <w:tcPr>
            <w:tcW w:type="dxa" w:w="3408"/>
            <w:vAlign w:val="top"/>
          </w:tcPr>
          <w:p>
            <w:r>
              <w:t>Keep in EPIC-F03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>Shared governance thread: the unresolved question of who owns, validates and approves EcoGrow plant-care content should be tracked as one connected governance finding across the existing MVP content-validation concern and EPIC-F01. Closure of that finding can inform both governance paths, but no answer is assumed here.</w:t>
      </w:r>
    </w:p>
    <w:p>
      <w:pPr>
        <w:spacing w:after="80"/>
      </w:pPr>
      <w:r>
        <w:t>Sections 6, 7, 8, and 9 refer to the same unresolved content-authority decision and should not be interpreted as separate governance blockers.</w:t>
      </w:r>
    </w:p>
    <w:p>
      <w:pPr>
        <w:pStyle w:val="Heading1"/>
      </w:pPr>
      <w:r>
        <w:t>10. Definition of Ready for Future Jira Creation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DoR check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Required evidence or decision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Current position</w:t>
            </w:r>
          </w:p>
        </w:tc>
      </w:tr>
      <w:tr>
        <w:tc>
          <w:tcPr>
            <w:tcW w:type="dxa" w:w="3408"/>
            <w:vAlign w:val="top"/>
          </w:tcPr>
          <w:p>
            <w:r>
              <w:t>Problem</w:t>
            </w:r>
          </w:p>
        </w:tc>
        <w:tc>
          <w:tcPr>
            <w:tcW w:type="dxa" w:w="3408"/>
            <w:vAlign w:val="top"/>
          </w:tcPr>
          <w:p>
            <w:r>
              <w:t>Validated user need and outcome</w:t>
            </w:r>
          </w:p>
        </w:tc>
        <w:tc>
          <w:tcPr>
            <w:tcW w:type="dxa" w:w="3408"/>
            <w:vAlign w:val="top"/>
          </w:tcPr>
          <w:p>
            <w:r>
              <w:t>Open</w:t>
            </w:r>
          </w:p>
        </w:tc>
      </w:tr>
      <w:tr>
        <w:tc>
          <w:tcPr>
            <w:tcW w:type="dxa" w:w="3408"/>
            <w:vAlign w:val="top"/>
          </w:tcPr>
          <w:p>
            <w:r>
              <w:t>Scope</w:t>
            </w:r>
          </w:p>
        </w:tc>
        <w:tc>
          <w:tcPr>
            <w:tcW w:type="dxa" w:w="3408"/>
            <w:vAlign w:val="top"/>
          </w:tcPr>
          <w:p>
            <w:r>
              <w:t>Epic and feature boundaries remain stable</w:t>
            </w:r>
          </w:p>
        </w:tc>
        <w:tc>
          <w:tcPr>
            <w:tcW w:type="dxa" w:w="3408"/>
            <w:vAlign w:val="top"/>
          </w:tcPr>
          <w:p>
            <w:r>
              <w:t>Sufficient for draft translation</w:t>
            </w:r>
          </w:p>
        </w:tc>
      </w:tr>
      <w:tr>
        <w:tc>
          <w:tcPr>
            <w:tcW w:type="dxa" w:w="3408"/>
            <w:vAlign w:val="top"/>
          </w:tcPr>
          <w:p>
            <w:r>
              <w:t>Requirement</w:t>
            </w:r>
          </w:p>
        </w:tc>
        <w:tc>
          <w:tcPr>
            <w:tcW w:type="dxa" w:w="3408"/>
            <w:vAlign w:val="top"/>
          </w:tcPr>
          <w:p>
            <w:r>
              <w:t>FR wording agreed and testable</w:t>
            </w:r>
          </w:p>
        </w:tc>
        <w:tc>
          <w:tcPr>
            <w:tcW w:type="dxa" w:w="3408"/>
            <w:vAlign w:val="top"/>
          </w:tcPr>
          <w:p>
            <w:r>
              <w:t>Candidate, not approved</w:t>
            </w:r>
          </w:p>
        </w:tc>
      </w:tr>
      <w:tr>
        <w:tc>
          <w:tcPr>
            <w:tcW w:type="dxa" w:w="3408"/>
            <w:vAlign w:val="top"/>
          </w:tcPr>
          <w:p>
            <w:r>
              <w:t>Story</w:t>
            </w:r>
          </w:p>
        </w:tc>
        <w:tc>
          <w:tcPr>
            <w:tcW w:type="dxa" w:w="3408"/>
            <w:vAlign w:val="top"/>
          </w:tcPr>
          <w:p>
            <w:r>
              <w:t>US-08 is sufficiently bounded</w:t>
            </w:r>
          </w:p>
        </w:tc>
        <w:tc>
          <w:tcPr>
            <w:tcW w:type="dxa" w:w="3408"/>
            <w:vAlign w:val="top"/>
          </w:tcPr>
          <w:p>
            <w:r>
              <w:t>Draft-ready</w:t>
            </w:r>
          </w:p>
        </w:tc>
      </w:tr>
      <w:tr>
        <w:tc>
          <w:tcPr>
            <w:tcW w:type="dxa" w:w="3408"/>
            <w:vAlign w:val="top"/>
          </w:tcPr>
          <w:p>
            <w:r>
              <w:t>Acceptance criteria</w:t>
            </w:r>
          </w:p>
        </w:tc>
        <w:tc>
          <w:tcPr>
            <w:tcW w:type="dxa" w:w="3408"/>
            <w:vAlign w:val="top"/>
          </w:tcPr>
          <w:p>
            <w:r>
              <w:t>Specific, testable criteria can be written without assumptions</w:t>
            </w:r>
          </w:p>
        </w:tc>
        <w:tc>
          <w:tcPr>
            <w:tcW w:type="dxa" w:w="3408"/>
            <w:vAlign w:val="top"/>
          </w:tcPr>
          <w:p>
            <w:r>
              <w:t>Blocked</w:t>
            </w:r>
          </w:p>
        </w:tc>
      </w:tr>
      <w:tr>
        <w:tc>
          <w:tcPr>
            <w:tcW w:type="dxa" w:w="3408"/>
            <w:vAlign w:val="top"/>
          </w:tcPr>
          <w:p>
            <w:r>
              <w:t>Content authority</w:t>
            </w:r>
          </w:p>
        </w:tc>
        <w:tc>
          <w:tcPr>
            <w:tcW w:type="dxa" w:w="3408"/>
            <w:vAlign w:val="top"/>
          </w:tcPr>
          <w:p>
            <w:r>
              <w:t>Named owner/approver and review model confirmed</w:t>
            </w:r>
          </w:p>
        </w:tc>
        <w:tc>
          <w:tcPr>
            <w:tcW w:type="dxa" w:w="3408"/>
            <w:vAlign w:val="top"/>
          </w:tcPr>
          <w:p>
            <w:r>
              <w:t>Blocked</w:t>
            </w:r>
          </w:p>
        </w:tc>
      </w:tr>
      <w:tr>
        <w:tc>
          <w:tcPr>
            <w:tcW w:type="dxa" w:w="3408"/>
            <w:vAlign w:val="top"/>
          </w:tcPr>
          <w:p>
            <w:r>
              <w:t>Data</w:t>
            </w:r>
          </w:p>
        </w:tc>
        <w:tc>
          <w:tcPr>
            <w:tcW w:type="dxa" w:w="3408"/>
            <w:vAlign w:val="top"/>
          </w:tcPr>
          <w:p>
            <w:r>
              <w:t>Minimum required inputs and limitations known</w:t>
            </w:r>
          </w:p>
        </w:tc>
        <w:tc>
          <w:tcPr>
            <w:tcW w:type="dxa" w:w="3408"/>
            <w:vAlign w:val="top"/>
          </w:tcPr>
          <w:p>
            <w:r>
              <w:t>Partially resolved</w:t>
            </w:r>
          </w:p>
        </w:tc>
      </w:tr>
      <w:tr>
        <w:tc>
          <w:tcPr>
            <w:tcW w:type="dxa" w:w="3408"/>
            <w:vAlign w:val="top"/>
          </w:tcPr>
          <w:p>
            <w:r>
              <w:t>NFRs</w:t>
            </w:r>
          </w:p>
        </w:tc>
        <w:tc>
          <w:tcPr>
            <w:tcW w:type="dxa" w:w="3408"/>
            <w:vAlign w:val="top"/>
          </w:tcPr>
          <w:p>
            <w:r>
              <w:t>Relevant quality expectations agreed</w:t>
            </w:r>
          </w:p>
        </w:tc>
        <w:tc>
          <w:tcPr>
            <w:tcW w:type="dxa" w:w="3408"/>
            <w:vAlign w:val="top"/>
          </w:tcPr>
          <w:p>
            <w:r>
              <w:t>Partially resolved</w:t>
            </w:r>
          </w:p>
        </w:tc>
      </w:tr>
      <w:tr>
        <w:tc>
          <w:tcPr>
            <w:tcW w:type="dxa" w:w="3408"/>
            <w:vAlign w:val="top"/>
          </w:tcPr>
          <w:p>
            <w:r>
              <w:t>Dependencies</w:t>
            </w:r>
          </w:p>
        </w:tc>
        <w:tc>
          <w:tcPr>
            <w:tcW w:type="dxa" w:w="3408"/>
            <w:vAlign w:val="top"/>
          </w:tcPr>
          <w:p>
            <w:r>
              <w:t>Critical dependencies visible and owned</w:t>
            </w:r>
          </w:p>
        </w:tc>
        <w:tc>
          <w:tcPr>
            <w:tcW w:type="dxa" w:w="3408"/>
            <w:vAlign w:val="top"/>
          </w:tcPr>
          <w:p>
            <w:r>
              <w:t>Partially resolved</w:t>
            </w:r>
          </w:p>
        </w:tc>
      </w:tr>
      <w:tr>
        <w:tc>
          <w:tcPr>
            <w:tcW w:type="dxa" w:w="3408"/>
            <w:vAlign w:val="top"/>
          </w:tcPr>
          <w:p>
            <w:r>
              <w:t>Stakeholders</w:t>
            </w:r>
          </w:p>
        </w:tc>
        <w:tc>
          <w:tcPr>
            <w:tcW w:type="dxa" w:w="3408"/>
            <w:vAlign w:val="top"/>
          </w:tcPr>
          <w:p>
            <w:r>
              <w:t>Required governance roles confirmed</w:t>
            </w:r>
          </w:p>
        </w:tc>
        <w:tc>
          <w:tcPr>
            <w:tcW w:type="dxa" w:w="3408"/>
            <w:vAlign w:val="top"/>
          </w:tcPr>
          <w:p>
            <w:r>
              <w:t>Partially resolved</w:t>
            </w:r>
          </w:p>
        </w:tc>
      </w:tr>
      <w:tr>
        <w:tc>
          <w:tcPr>
            <w:tcW w:type="dxa" w:w="3408"/>
            <w:vAlign w:val="top"/>
          </w:tcPr>
          <w:p>
            <w:r>
              <w:t>Priority</w:t>
            </w:r>
          </w:p>
        </w:tc>
        <w:tc>
          <w:tcPr>
            <w:tcW w:type="dxa" w:w="3408"/>
            <w:vAlign w:val="top"/>
          </w:tcPr>
          <w:p>
            <w:r>
              <w:t>GreenSphere agrees the value and sequencing case</w:t>
            </w:r>
          </w:p>
        </w:tc>
        <w:tc>
          <w:tcPr>
            <w:tcW w:type="dxa" w:w="3408"/>
            <w:vAlign w:val="top"/>
          </w:tcPr>
          <w:p>
            <w:r>
              <w:t>Open</w:t>
            </w:r>
          </w:p>
        </w:tc>
      </w:tr>
      <w:tr>
        <w:tc>
          <w:tcPr>
            <w:tcW w:type="dxa" w:w="3408"/>
            <w:vAlign w:val="top"/>
          </w:tcPr>
          <w:p>
            <w:r>
              <w:t>Estimation</w:t>
            </w:r>
          </w:p>
        </w:tc>
        <w:tc>
          <w:tcPr>
            <w:tcW w:type="dxa" w:w="3408"/>
            <w:vAlign w:val="top"/>
          </w:tcPr>
          <w:p>
            <w:r>
              <w:t>Story Points assigned in real Sprint Planning</w:t>
            </w:r>
          </w:p>
        </w:tc>
        <w:tc>
          <w:tcPr>
            <w:tcW w:type="dxa" w:w="3408"/>
            <w:vAlign w:val="top"/>
          </w:tcPr>
          <w:p>
            <w:r>
              <w:t>Not yet applicable</w:t>
            </w:r>
          </w:p>
        </w:tc>
      </w:tr>
    </w:tbl>
    <w:p/>
    <w:p>
      <w:pPr>
        <w:pStyle w:val="Heading1"/>
      </w:pPr>
      <w:r>
        <w:t>11. Prioritisation Position</w:t>
      </w:r>
    </w:p>
    <w:p>
      <w:pPr>
        <w:spacing w:after="80"/>
      </w:pPr>
      <w:r>
        <w:rPr>
          <w:b w:val="0"/>
          <w:i w:val="0"/>
        </w:rPr>
        <w:t>EPIC-F01 has strong portfolio and user-value potential, but no delivery priority is asserted as a fact. The appropriate decision is to prepare the opportunity for prioritisation after the content-authority and acceptance gates are resolved.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Current assessment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Evidence status</w:t>
            </w:r>
          </w:p>
        </w:tc>
      </w:tr>
      <w:tr>
        <w:tc>
          <w:tcPr>
            <w:tcW w:type="dxa" w:w="3408"/>
            <w:vAlign w:val="top"/>
          </w:tcPr>
          <w:p>
            <w:r>
              <w:t>User value</w:t>
            </w:r>
          </w:p>
        </w:tc>
        <w:tc>
          <w:tcPr>
            <w:tcW w:type="dxa" w:w="3408"/>
            <w:vAlign w:val="top"/>
          </w:tcPr>
          <w:p>
            <w:r>
              <w:t>High potential because the opportunity closes the gap between information and care decision.</w:t>
            </w:r>
          </w:p>
        </w:tc>
        <w:tc>
          <w:tcPr>
            <w:tcW w:type="dxa" w:w="3408"/>
            <w:vAlign w:val="top"/>
          </w:tcPr>
          <w:p>
            <w:r>
              <w:t>Hypothesis</w:t>
            </w:r>
          </w:p>
        </w:tc>
      </w:tr>
      <w:tr>
        <w:tc>
          <w:tcPr>
            <w:tcW w:type="dxa" w:w="3408"/>
            <w:vAlign w:val="top"/>
          </w:tcPr>
          <w:p>
            <w:r>
              <w:t>Business value</w:t>
            </w:r>
          </w:p>
        </w:tc>
        <w:tc>
          <w:tcPr>
            <w:tcW w:type="dxa" w:w="3408"/>
            <w:vAlign w:val="top"/>
          </w:tcPr>
          <w:p>
            <w:r>
              <w:t>Potentially high if the experience improves usefulness and repeat engagement.</w:t>
            </w:r>
          </w:p>
        </w:tc>
        <w:tc>
          <w:tcPr>
            <w:tcW w:type="dxa" w:w="3408"/>
            <w:vAlign w:val="top"/>
          </w:tcPr>
          <w:p>
            <w:r>
              <w:t>Hypothesis</w:t>
            </w:r>
          </w:p>
        </w:tc>
      </w:tr>
      <w:tr>
        <w:tc>
          <w:tcPr>
            <w:tcW w:type="dxa" w:w="3408"/>
            <w:vAlign w:val="top"/>
          </w:tcPr>
          <w:p>
            <w:r>
              <w:t>Complexity</w:t>
            </w:r>
          </w:p>
        </w:tc>
        <w:tc>
          <w:tcPr>
            <w:tcW w:type="dxa" w:w="3408"/>
            <w:vAlign w:val="top"/>
          </w:tcPr>
          <w:p>
            <w:r>
              <w:t>Medium for a bounded content-led implementation; higher if contextual inputs expand.</w:t>
            </w:r>
          </w:p>
        </w:tc>
        <w:tc>
          <w:tcPr>
            <w:tcW w:type="dxa" w:w="3408"/>
            <w:vAlign w:val="top"/>
          </w:tcPr>
          <w:p>
            <w:r>
              <w:t>Discovery assessment</w:t>
            </w:r>
          </w:p>
        </w:tc>
      </w:tr>
      <w:tr>
        <w:tc>
          <w:tcPr>
            <w:tcW w:type="dxa" w:w="3408"/>
            <w:vAlign w:val="top"/>
          </w:tcPr>
          <w:p>
            <w:r>
              <w:t>Governance</w:t>
            </w:r>
          </w:p>
        </w:tc>
        <w:tc>
          <w:tcPr>
            <w:tcW w:type="dxa" w:w="3408"/>
            <w:vAlign w:val="top"/>
          </w:tcPr>
          <w:p>
            <w:r>
              <w:t>Medium to high due to content authority and lifecycle requirements.</w:t>
            </w:r>
          </w:p>
        </w:tc>
        <w:tc>
          <w:tcPr>
            <w:tcW w:type="dxa" w:w="3408"/>
            <w:vAlign w:val="top"/>
          </w:tcPr>
          <w:p>
            <w:r>
              <w:t>Supported discovery finding</w:t>
            </w:r>
          </w:p>
        </w:tc>
      </w:tr>
      <w:tr>
        <w:tc>
          <w:tcPr>
            <w:tcW w:type="dxa" w:w="3408"/>
            <w:vAlign w:val="top"/>
          </w:tcPr>
          <w:p>
            <w:r>
              <w:t>Delivery readiness</w:t>
            </w:r>
          </w:p>
        </w:tc>
        <w:tc>
          <w:tcPr>
            <w:tcW w:type="dxa" w:w="3408"/>
            <w:vAlign w:val="top"/>
          </w:tcPr>
          <w:p>
            <w:r>
              <w:t>Not yet ready for Jira creation.</w:t>
            </w:r>
          </w:p>
        </w:tc>
        <w:tc>
          <w:tcPr>
            <w:tcW w:type="dxa" w:w="3408"/>
            <w:vAlign w:val="top"/>
          </w:tcPr>
          <w:p>
            <w:r>
              <w:t>Governance and acceptance gates open</w:t>
            </w:r>
          </w:p>
        </w:tc>
      </w:tr>
    </w:tbl>
    <w:p/>
    <w:p>
      <w:pPr>
        <w:pStyle w:val="Heading1"/>
      </w:pPr>
      <w:r>
        <w:t>12. Jira Translation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Prepared form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rPr>
                <w:b/>
              </w:rPr>
              <w:t>Jira action now?</w:t>
            </w:r>
          </w:p>
        </w:tc>
      </w:tr>
      <w:tr>
        <w:tc>
          <w:tcPr>
            <w:tcW w:type="dxa" w:w="3408"/>
            <w:vAlign w:val="top"/>
          </w:tcPr>
          <w:p>
            <w:r>
              <w:t>EPIC-F01</w:t>
            </w:r>
          </w:p>
        </w:tc>
        <w:tc>
          <w:tcPr>
            <w:tcW w:type="dxa" w:w="3408"/>
            <w:vAlign w:val="top"/>
          </w:tcPr>
          <w:p>
            <w:r>
              <w:t>Epic definition available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  <w:tr>
        <w:tc>
          <w:tcPr>
            <w:tcW w:type="dxa" w:w="3408"/>
            <w:vAlign w:val="top"/>
          </w:tcPr>
          <w:p>
            <w:r>
              <w:t>F01.1 / F01.2</w:t>
            </w:r>
          </w:p>
        </w:tc>
        <w:tc>
          <w:tcPr>
            <w:tcW w:type="dxa" w:w="3408"/>
            <w:vAlign w:val="top"/>
          </w:tcPr>
          <w:p>
            <w:r>
              <w:t>Feature definitions available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  <w:tr>
        <w:tc>
          <w:tcPr>
            <w:tcW w:type="dxa" w:w="3408"/>
            <w:vAlign w:val="top"/>
          </w:tcPr>
          <w:p>
            <w:r>
              <w:t>FR-10 / FR-11</w:t>
            </w:r>
          </w:p>
        </w:tc>
        <w:tc>
          <w:tcPr>
            <w:tcW w:type="dxa" w:w="3408"/>
            <w:vAlign w:val="top"/>
          </w:tcPr>
          <w:p>
            <w:r>
              <w:t>Candidate requirement definitions available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  <w:tr>
        <w:tc>
          <w:tcPr>
            <w:tcW w:type="dxa" w:w="3408"/>
            <w:vAlign w:val="top"/>
          </w:tcPr>
          <w:p>
            <w:r>
              <w:t>US-08</w:t>
            </w:r>
          </w:p>
        </w:tc>
        <w:tc>
          <w:tcPr>
            <w:tcW w:type="dxa" w:w="3408"/>
            <w:vAlign w:val="top"/>
          </w:tcPr>
          <w:p>
            <w:r>
              <w:t>Bounded story candidate available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  <w:tr>
        <w:tc>
          <w:tcPr>
            <w:tcW w:type="dxa" w:w="3408"/>
            <w:vAlign w:val="top"/>
          </w:tcPr>
          <w:p>
            <w:r>
              <w:t>Acceptance criteria</w:t>
            </w:r>
          </w:p>
        </w:tc>
        <w:tc>
          <w:tcPr>
            <w:tcW w:type="dxa" w:w="3408"/>
            <w:vAlign w:val="top"/>
          </w:tcPr>
          <w:p>
            <w:r>
              <w:t>Framework only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  <w:tr>
        <w:tc>
          <w:tcPr>
            <w:tcW w:type="dxa" w:w="3408"/>
            <w:vAlign w:val="top"/>
          </w:tcPr>
          <w:p>
            <w:r>
              <w:t>NFRs</w:t>
            </w:r>
          </w:p>
        </w:tc>
        <w:tc>
          <w:tcPr>
            <w:tcW w:type="dxa" w:w="3408"/>
            <w:vAlign w:val="top"/>
          </w:tcPr>
          <w:p>
            <w:r>
              <w:t>Themes only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  <w:tr>
        <w:tc>
          <w:tcPr>
            <w:tcW w:type="dxa" w:w="3408"/>
            <w:vAlign w:val="top"/>
          </w:tcPr>
          <w:p>
            <w:r>
              <w:t>Dependencies</w:t>
            </w:r>
          </w:p>
        </w:tc>
        <w:tc>
          <w:tcPr>
            <w:tcW w:type="dxa" w:w="3408"/>
            <w:vAlign w:val="top"/>
          </w:tcPr>
          <w:p>
            <w:r>
              <w:t>Documented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  <w:tr>
        <w:tc>
          <w:tcPr>
            <w:tcW w:type="dxa" w:w="3408"/>
            <w:vAlign w:val="top"/>
          </w:tcPr>
          <w:p>
            <w:r>
              <w:t>Story Points</w:t>
            </w:r>
          </w:p>
        </w:tc>
        <w:tc>
          <w:tcPr>
            <w:tcW w:type="dxa" w:w="3408"/>
            <w:vAlign w:val="top"/>
          </w:tcPr>
          <w:p>
            <w:r>
              <w:t>Deferred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  <w:tr>
        <w:tc>
          <w:tcPr>
            <w:tcW w:type="dxa" w:w="3408"/>
            <w:vAlign w:val="top"/>
          </w:tcPr>
          <w:p>
            <w:r>
              <w:t>Bug records</w:t>
            </w:r>
          </w:p>
        </w:tc>
        <w:tc>
          <w:tcPr>
            <w:tcW w:type="dxa" w:w="3408"/>
            <w:vAlign w:val="top"/>
          </w:tcPr>
          <w:p>
            <w:r>
              <w:t>None, because no delivery defect exists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</w:tbl>
    <w:p/>
    <w:p>
      <w:pPr>
        <w:pStyle w:val="Heading1"/>
      </w:pPr>
      <w:r>
        <w:t>13. Pass 3 Decision</w:t>
      </w:r>
    </w:p>
    <w:p>
      <w:pPr>
        <w:spacing w:after="80"/>
      </w:pPr>
      <w:r>
        <w:rPr>
          <w:b w:val="0"/>
          <w:i w:val="0"/>
        </w:rPr>
        <w:t>Pass 3 successfully translates the resolved EPIC-F01 discovery into a controlled future-state delivery structure. The translation is not yet a Jira creation authorization.</w:t>
      </w:r>
    </w:p>
    <w:p>
      <w:pPr>
        <w:spacing w:after="80"/>
      </w:pPr>
      <w:r>
        <w:rPr>
          <w:b w:val="0"/>
          <w:i w:val="0"/>
        </w:rPr>
        <w:t>The remaining progression gate is clear: resolve the shared plant-care content-authority question, confirm the minimum reliable data inputs and review lifecycle, then write formal testable acceptance criteria and complete prioritisation. Until then, FR-10, FR-11 and US-08 remain future-state candidates rather than approved backlog items.</w:t>
      </w:r>
    </w:p>
    <w:p>
      <w:pPr>
        <w:spacing w:after="80"/>
      </w:pPr>
      <w:r>
        <w:rPr>
          <w:b w:val="0"/>
          <w:i w:val="0"/>
        </w:rPr>
        <w:t>Next controlled step: once the governance gate is resolved, complete the final Jira-ready acceptance criteria and DoR package, then move to the real delivery workflow only if GreenSphere approves the opportunity.</w:t>
      </w:r>
    </w:p>
    <w:p>
      <w:pPr>
        <w:pStyle w:val="Heading1"/>
      </w:pPr>
      <w:r>
        <w:t>14. Traceability to Source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  <w:vAlign w:val="center"/>
          </w:tcPr>
          <w:p>
            <w:r>
              <w:rPr>
                <w:b/>
              </w:rPr>
              <w:t>Source artifact</w:t>
            </w:r>
          </w:p>
        </w:tc>
        <w:tc>
          <w:tcPr>
            <w:tcW w:type="dxa" w:w="5112"/>
            <w:shd w:fill="D9EAD3"/>
            <w:vAlign w:val="center"/>
          </w:tcPr>
          <w:p>
            <w:r>
              <w:rPr>
                <w:b/>
              </w:rPr>
              <w:t>How Pass 3 uses it</w:t>
            </w:r>
          </w:p>
        </w:tc>
      </w:tr>
      <w:tr>
        <w:tc>
          <w:tcPr>
            <w:tcW w:type="dxa" w:w="5112"/>
            <w:vAlign w:val="top"/>
          </w:tcPr>
          <w:p>
            <w:r>
              <w:t>EcoGrow Future-State Discovery baseline</w:t>
            </w:r>
          </w:p>
        </w:tc>
        <w:tc>
          <w:tcPr>
            <w:tcW w:type="dxa" w:w="5112"/>
            <w:vAlign w:val="top"/>
          </w:tcPr>
          <w:p>
            <w:r>
              <w:t>Preserves the original opportunity framing, watering concerns, future-state capability ideas and BA delivery chain.</w:t>
            </w:r>
          </w:p>
        </w:tc>
      </w:tr>
      <w:tr>
        <w:tc>
          <w:tcPr>
            <w:tcW w:type="dxa" w:w="5112"/>
            <w:vAlign w:val="top"/>
          </w:tcPr>
          <w:p>
            <w:r>
              <w:t>Product Vision &amp; Capability Map | Revalidated Scope</w:t>
            </w:r>
          </w:p>
        </w:tc>
        <w:tc>
          <w:tcPr>
            <w:tcW w:type="dxa" w:w="5112"/>
            <w:vAlign w:val="top"/>
          </w:tcPr>
          <w:p>
            <w:r>
              <w:t>Uses the locked future-state scope, EPIC-F01 boundary, FR-10/FR-11 candidates and governance rules.</w:t>
            </w:r>
          </w:p>
        </w:tc>
      </w:tr>
      <w:tr>
        <w:tc>
          <w:tcPr>
            <w:tcW w:type="dxa" w:w="5112"/>
            <w:vAlign w:val="top"/>
          </w:tcPr>
          <w:p>
            <w:r>
              <w:t>EPIC-F01 Deep Discovery | Pass 2</w:t>
            </w:r>
          </w:p>
        </w:tc>
        <w:tc>
          <w:tcPr>
            <w:tcW w:type="dxa" w:w="5112"/>
            <w:vAlign w:val="top"/>
          </w:tcPr>
          <w:p>
            <w:r>
              <w:t>Translates the completed discovery into a structured delivery model without inventing missing evidence.</w:t>
            </w:r>
          </w:p>
        </w:tc>
      </w:tr>
      <w:tr>
        <w:tc>
          <w:tcPr>
            <w:tcW w:type="dxa" w:w="5112"/>
            <w:vAlign w:val="top"/>
          </w:tcPr>
          <w:p>
            <w:r>
              <w:t>Locked EcoGrow MVP</w:t>
            </w:r>
          </w:p>
        </w:tc>
        <w:tc>
          <w:tcPr>
            <w:tcW w:type="dxa" w:w="5112"/>
            <w:vAlign w:val="top"/>
          </w:tcPr>
          <w:p>
            <w:r>
              <w:t>Maintained as historical baseline. No FR-01 to FR-09 changes are made here.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EcoGrow Future-State Discovery | EPIC-F01 | Pass 3 | Doris Frank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