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EcoGrow Future-State Discovery</w:t>
      </w:r>
    </w:p>
    <w:p>
      <w:pPr>
        <w:jc w:val="center"/>
      </w:pPr>
      <w:r>
        <w:rPr>
          <w:i/>
          <w:sz w:val="22"/>
        </w:rPr>
        <w:t>EPIC-F02 Weather-Aware Gardening | Cross-Artifact QA | Pass 4</w:t>
        <w:br/>
        <w:t>Prepared by Doris Frank, Business Analyst</w:t>
      </w:r>
    </w:p>
    <w:p/>
    <w:p>
      <w:r>
        <w:t>Status: Cross-artifact QA only. This audit does not approve F02 for Jira creation or delivery.</w:t>
      </w:r>
    </w:p>
    <w:p>
      <w:pPr>
        <w:pStyle w:val="Heading1"/>
      </w:pPr>
      <w:r>
        <w:t>1. QA Scope</w:t>
      </w:r>
    </w:p>
    <w:p>
      <w:r>
        <w:t>I checked Pass 2 and Pass 3 against the revalidated Product Vision &amp; Capability Map and the established future-state governance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D3"/>
            <w:vAlign w:val="center"/>
          </w:tcPr>
          <w:p>
            <w:r>
              <w:t>QA area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t>Result</w:t>
            </w:r>
          </w:p>
        </w:tc>
        <w:tc>
          <w:tcPr>
            <w:tcW w:type="dxa" w:w="3408"/>
            <w:shd w:fill="D9EAD3"/>
            <w:vAlign w:val="center"/>
          </w:tcPr>
          <w:p>
            <w:r>
              <w:t>Evidence position</w:t>
            </w:r>
          </w:p>
        </w:tc>
      </w:tr>
      <w:tr>
        <w:tc>
          <w:tcPr>
            <w:tcW w:type="dxa" w:w="3408"/>
            <w:vAlign w:val="top"/>
          </w:tcPr>
          <w:p>
            <w:r>
              <w:t>F02 boundary integrity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F01, F03 and F05 remain outside F02 delivery scope.</w:t>
            </w:r>
          </w:p>
        </w:tc>
      </w:tr>
      <w:tr>
        <w:tc>
          <w:tcPr>
            <w:tcW w:type="dxa" w:w="3408"/>
            <w:vAlign w:val="top"/>
          </w:tcPr>
          <w:p>
            <w:r>
              <w:t>ID integrity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No FR or US number assigned; no new stakeholder or NFR IDs.</w:t>
            </w:r>
          </w:p>
        </w:tc>
      </w:tr>
      <w:tr>
        <w:tc>
          <w:tcPr>
            <w:tcW w:type="dxa" w:w="3408"/>
            <w:vAlign w:val="top"/>
          </w:tcPr>
          <w:p>
            <w:r>
              <w:t>Governance separation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F01 content authority remains distinct from F02 weather/climate expertise.</w:t>
            </w:r>
          </w:p>
        </w:tc>
      </w:tr>
      <w:tr>
        <w:tc>
          <w:tcPr>
            <w:tcW w:type="dxa" w:w="3408"/>
            <w:vAlign w:val="top"/>
          </w:tcPr>
          <w:p>
            <w:r>
              <w:t>Privacy discipline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Location use remains an open privacy and consent question.</w:t>
            </w:r>
          </w:p>
        </w:tc>
      </w:tr>
      <w:tr>
        <w:tc>
          <w:tcPr>
            <w:tcW w:type="dxa" w:w="3408"/>
            <w:vAlign w:val="top"/>
          </w:tcPr>
          <w:p>
            <w:r>
              <w:t>Reliability discipline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Weather source, stale data and fallback behaviour remain open.</w:t>
            </w:r>
          </w:p>
        </w:tc>
      </w:tr>
      <w:tr>
        <w:tc>
          <w:tcPr>
            <w:tcW w:type="dxa" w:w="3408"/>
            <w:vAlign w:val="top"/>
          </w:tcPr>
          <w:p>
            <w:r>
              <w:t>Acceptance discipline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Criteria remain frameworks only and are not fabricated.</w:t>
            </w:r>
          </w:p>
        </w:tc>
      </w:tr>
      <w:tr>
        <w:tc>
          <w:tcPr>
            <w:tcW w:type="dxa" w:w="3408"/>
            <w:vAlign w:val="top"/>
          </w:tcPr>
          <w:p>
            <w:r>
              <w:t>Delivery evidence discipline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No build, QA, Bug, Sprint, acceptance or delivery result is claimed.</w:t>
            </w:r>
          </w:p>
        </w:tc>
      </w:tr>
      <w:tr>
        <w:tc>
          <w:tcPr>
            <w:tcW w:type="dxa" w:w="3408"/>
            <w:vAlign w:val="top"/>
          </w:tcPr>
          <w:p>
            <w:r>
              <w:t>MVP separation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FR-01 to FR-09 and US-01 to US-07 are untouched.</w:t>
            </w:r>
          </w:p>
        </w:tc>
      </w:tr>
      <w:tr>
        <w:tc>
          <w:tcPr>
            <w:tcW w:type="dxa" w:w="3408"/>
            <w:vAlign w:val="top"/>
          </w:tcPr>
          <w:p>
            <w:r>
              <w:t>Future-state source traceability</w:t>
            </w:r>
          </w:p>
        </w:tc>
        <w:tc>
          <w:tcPr>
            <w:tcW w:type="dxa" w:w="3408"/>
            <w:vAlign w:val="top"/>
          </w:tcPr>
          <w:p>
            <w:r>
              <w:t>PASS</w:t>
            </w:r>
          </w:p>
        </w:tc>
        <w:tc>
          <w:tcPr>
            <w:tcW w:type="dxa" w:w="3408"/>
            <w:vAlign w:val="top"/>
          </w:tcPr>
          <w:p>
            <w:r>
              <w:t>Pass 3 follows the F02 Pass 2 structure and the revalidated scope map.</w:t>
            </w:r>
          </w:p>
        </w:tc>
      </w:tr>
    </w:tbl>
    <w:p>
      <w:pPr>
        <w:pStyle w:val="Heading1"/>
      </w:pPr>
      <w:r>
        <w:t>2. Cross-Artifact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  <w:vAlign w:val="center"/>
          </w:tcPr>
          <w:p>
            <w:r>
              <w:t>Artifact</w:t>
            </w:r>
          </w:p>
        </w:tc>
        <w:tc>
          <w:tcPr>
            <w:tcW w:type="dxa" w:w="5112"/>
            <w:shd w:fill="D9EAD3"/>
            <w:vAlign w:val="center"/>
          </w:tcPr>
          <w:p>
            <w:r>
              <w:t>Consistency check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 Vision &amp; Capability Map</w:t>
            </w:r>
          </w:p>
        </w:tc>
        <w:tc>
          <w:tcPr>
            <w:tcW w:type="dxa" w:w="5112"/>
            <w:vAlign w:val="top"/>
          </w:tcPr>
          <w:p>
            <w:r>
              <w:t>F02 remains weather-aware gardening with location, weather data, rules, privacy and reliability dependencies.</w:t>
            </w:r>
          </w:p>
        </w:tc>
      </w:tr>
      <w:tr>
        <w:tc>
          <w:tcPr>
            <w:tcW w:type="dxa" w:w="5112"/>
            <w:vAlign w:val="top"/>
          </w:tcPr>
          <w:p>
            <w:r>
              <w:t>EPIC-F02 Pass 2</w:t>
            </w:r>
          </w:p>
        </w:tc>
        <w:tc>
          <w:tcPr>
            <w:tcW w:type="dxa" w:w="5112"/>
            <w:vAlign w:val="top"/>
          </w:tcPr>
          <w:p>
            <w:r>
              <w:t>Pass 3 carries forward the four discovery features, candidate requirement directions, open questions, NFR themes and governance gates.</w:t>
            </w:r>
          </w:p>
        </w:tc>
      </w:tr>
      <w:tr>
        <w:tc>
          <w:tcPr>
            <w:tcW w:type="dxa" w:w="5112"/>
            <w:vAlign w:val="top"/>
          </w:tcPr>
          <w:p>
            <w:r>
              <w:t>EPIC-F01</w:t>
            </w:r>
          </w:p>
        </w:tc>
        <w:tc>
          <w:tcPr>
            <w:tcW w:type="dxa" w:w="5112"/>
            <w:vAlign w:val="top"/>
          </w:tcPr>
          <w:p>
            <w:r>
              <w:t>Plant-specific care and watering remain separate. The shared plant-content authority thread is not incorrectly merged with F02 weather/climate expertise.</w:t>
            </w:r>
          </w:p>
        </w:tc>
      </w:tr>
      <w:tr>
        <w:tc>
          <w:tcPr>
            <w:tcW w:type="dxa" w:w="5112"/>
            <w:vAlign w:val="top"/>
          </w:tcPr>
          <w:p>
            <w:r>
              <w:t>EPIC-F03</w:t>
            </w:r>
          </w:p>
        </w:tc>
        <w:tc>
          <w:tcPr>
            <w:tcW w:type="dxa" w:w="5112"/>
            <w:vAlign w:val="top"/>
          </w:tcPr>
          <w:p>
            <w:r>
              <w:t>Plant health, treatment and chemical guidance remain outside F02.</w:t>
            </w:r>
          </w:p>
        </w:tc>
      </w:tr>
      <w:tr>
        <w:tc>
          <w:tcPr>
            <w:tcW w:type="dxa" w:w="5112"/>
            <w:vAlign w:val="top"/>
          </w:tcPr>
          <w:p>
            <w:r>
              <w:t>EPIC-F05</w:t>
            </w:r>
          </w:p>
        </w:tc>
        <w:tc>
          <w:tcPr>
            <w:tcW w:type="dxa" w:w="5112"/>
            <w:vAlign w:val="top"/>
          </w:tcPr>
          <w:p>
            <w:r>
              <w:t>Personalised garden profiles remain outside F02.</w:t>
            </w:r>
          </w:p>
        </w:tc>
      </w:tr>
      <w:tr>
        <w:tc>
          <w:tcPr>
            <w:tcW w:type="dxa" w:w="5112"/>
            <w:vAlign w:val="top"/>
          </w:tcPr>
          <w:p>
            <w:r>
              <w:t>Locked MVP</w:t>
            </w:r>
          </w:p>
        </w:tc>
        <w:tc>
          <w:tcPr>
            <w:tcW w:type="dxa" w:w="5112"/>
            <w:vAlign w:val="top"/>
          </w:tcPr>
          <w:p>
            <w:r>
              <w:t>No MVP requirement, story, stakeholder, acceptance or delivery record is modified.</w:t>
            </w:r>
          </w:p>
        </w:tc>
      </w:tr>
    </w:tbl>
    <w:p>
      <w:pPr>
        <w:pStyle w:val="Heading1"/>
      </w:pPr>
      <w:r>
        <w:t>3. QA Decisions</w:t>
      </w:r>
    </w:p>
    <w:p>
      <w:r>
        <w:t>The separate F02 weather or climate governance question is retained as a distinct open item. It should not be added to the MVP stakeholder register unless GreenSphere confirms a real capability or governance function requiring it.</w:t>
      </w:r>
    </w:p>
    <w:p>
      <w:r>
        <w:t>F02 remains discovery-only. Its current translation is intentionally less mature than F01 because location, consent, external data reliability, weather rules, alert usefulness, and regional interpretation remain unresolved.</w:t>
      </w:r>
    </w:p>
    <w:p>
      <w:r>
        <w:t>I found no reason to introduce a new FR ID, US ID, NFR ID, or stakeholder ID at this stage.</w:t>
      </w:r>
    </w:p>
    <w:p>
      <w:pPr>
        <w:pStyle w:val="Heading1"/>
      </w:pPr>
      <w:r>
        <w:t>4. Pass 4 Decision</w:t>
      </w:r>
    </w:p>
    <w:p>
      <w:r>
        <w:t>PASS. EPIC-F02 Pass 2 and Pass 3 are cross-consistent with the established future-state framework. No correction is required before portfolio packaging once the user approves the QA result.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EcoGrow Future-State Discovery | EPIC-F02 | Pass 4 | Doris Frank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