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EcoGrow Future-State Discovery</w:t>
      </w:r>
    </w:p>
    <w:p>
      <w:pPr>
        <w:jc w:val="center"/>
      </w:pPr>
      <w:r>
        <w:rPr>
          <w:b/>
          <w:sz w:val="36"/>
        </w:rPr>
        <w:t>EPIC-F02 Weather-Aware Gardening | Portfolio Packaging | Pass 5</w:t>
      </w:r>
    </w:p>
    <w:p>
      <w:pPr>
        <w:jc w:val="center"/>
      </w:pPr>
      <w:r>
        <w:rPr>
          <w:i/>
        </w:rPr>
        <w:t>Prepared by Doris Frank, Business Analyst</w:t>
      </w:r>
    </w:p>
    <w:p>
      <w:r>
        <w:rPr>
          <w:b/>
        </w:rPr>
        <w:t xml:space="preserve">Status: </w:t>
      </w:r>
      <w:r>
        <w:t>Controlled future-state portfolio packaging. This package does not amend the locked MVP, create Jira commitments, or represent approved delivery scope.</w:t>
      </w:r>
    </w:p>
    <w:p>
      <w:pPr>
        <w:pStyle w:val="Heading1"/>
      </w:pPr>
      <w:r>
        <w:t>1. Executive Future-State Story</w:t>
      </w:r>
    </w:p>
    <w:p>
      <w:r>
        <w:t>I explored how EcoGrow could evolve from static plant information toward weather-aware gardening support by connecting local context, weather data, plant context and validated care rules. The F02 work remains a discovery candidate because location, privacy, weather reliability, rule ownership and alert safety are not yet resolved. This is a future-state systems analysis, not a claim of built functionality.</w:t>
      </w:r>
    </w:p>
    <w:p>
      <w:pPr>
        <w:pStyle w:val="Heading1"/>
      </w:pPr>
      <w:r>
        <w:t>2. What F02 Adds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7F0E1"/>
          </w:tcPr>
          <w:p>
            <w:pPr>
              <w:spacing w:after="0"/>
            </w:pPr>
            <w:r/>
            <w:r>
              <w:rPr>
                <w:b/>
              </w:rPr>
              <w:t>Capability</w:t>
            </w:r>
          </w:p>
        </w:tc>
        <w:tc>
          <w:tcPr>
            <w:tcW w:type="dxa" w:w="3456"/>
            <w:vAlign w:val="center"/>
            <w:shd w:fill="E7F0E1"/>
          </w:tcPr>
          <w:p>
            <w:pPr>
              <w:spacing w:after="0"/>
            </w:pPr>
            <w:r/>
            <w:r>
              <w:rPr>
                <w:b/>
              </w:rPr>
              <w:t>Purpose</w:t>
            </w:r>
          </w:p>
        </w:tc>
        <w:tc>
          <w:tcPr>
            <w:tcW w:type="dxa" w:w="3456"/>
            <w:vAlign w:val="center"/>
            <w:shd w:fill="E7F0E1"/>
          </w:tcPr>
          <w:p>
            <w:pPr>
              <w:spacing w:after="0"/>
            </w:pPr>
            <w:r/>
            <w:r>
              <w:rPr>
                <w:b/>
              </w:rPr>
              <w:t>Current position</w:t>
            </w:r>
          </w:p>
        </w:tc>
      </w:tr>
      <w:tr>
        <w:tc>
          <w:tcPr>
            <w:tcW w:type="dxa" w:w="3456"/>
            <w:vAlign w:val="center"/>
          </w:tcPr>
          <w:p>
            <w:pPr>
              <w:spacing w:after="0"/>
            </w:pPr>
            <w:r/>
            <w:r>
              <w:rPr>
                <w:b w:val="0"/>
              </w:rPr>
              <w:t>F02.1 Location Context</w:t>
            </w:r>
          </w:p>
        </w:tc>
        <w:tc>
          <w:tcPr>
            <w:tcW w:type="dxa" w:w="3456"/>
            <w:vAlign w:val="center"/>
          </w:tcPr>
          <w:p>
            <w:pPr>
              <w:spacing w:after="0"/>
            </w:pPr>
            <w:r/>
            <w:r>
              <w:rPr>
                <w:b w:val="0"/>
              </w:rPr>
              <w:t>Explore the minimum location context needed for useful weather-aware experiences.</w:t>
            </w:r>
          </w:p>
        </w:tc>
        <w:tc>
          <w:tcPr>
            <w:tcW w:type="dxa" w:w="3456"/>
            <w:vAlign w:val="center"/>
          </w:tcPr>
          <w:p>
            <w:pPr>
              <w:spacing w:after="0"/>
            </w:pPr>
            <w:r/>
            <w:r>
              <w:rPr>
                <w:b w:val="0"/>
              </w:rPr>
              <w:t>Discovery feature</w:t>
            </w:r>
          </w:p>
        </w:tc>
      </w:tr>
      <w:tr>
        <w:tc>
          <w:tcPr>
            <w:tcW w:type="dxa" w:w="3456"/>
            <w:vAlign w:val="center"/>
          </w:tcPr>
          <w:p>
            <w:pPr>
              <w:spacing w:after="0"/>
            </w:pPr>
            <w:r/>
            <w:r>
              <w:rPr>
                <w:b w:val="0"/>
              </w:rPr>
              <w:t>F02.2 Weather Data and Forecast Context</w:t>
            </w:r>
          </w:p>
        </w:tc>
        <w:tc>
          <w:tcPr>
            <w:tcW w:type="dxa" w:w="3456"/>
            <w:vAlign w:val="center"/>
          </w:tcPr>
          <w:p>
            <w:pPr>
              <w:spacing w:after="0"/>
            </w:pPr>
            <w:r/>
            <w:r>
              <w:rPr>
                <w:b w:val="0"/>
              </w:rPr>
              <w:t>Explore reliable weather inputs and the minimum forecast data needed for care decisions.</w:t>
            </w:r>
          </w:p>
        </w:tc>
        <w:tc>
          <w:tcPr>
            <w:tcW w:type="dxa" w:w="3456"/>
            <w:vAlign w:val="center"/>
          </w:tcPr>
          <w:p>
            <w:pPr>
              <w:spacing w:after="0"/>
            </w:pPr>
            <w:r/>
            <w:r>
              <w:rPr>
                <w:b w:val="0"/>
              </w:rPr>
              <w:t>Discovery feature</w:t>
            </w:r>
          </w:p>
        </w:tc>
      </w:tr>
      <w:tr>
        <w:tc>
          <w:tcPr>
            <w:tcW w:type="dxa" w:w="3456"/>
            <w:vAlign w:val="center"/>
          </w:tcPr>
          <w:p>
            <w:pPr>
              <w:spacing w:after="0"/>
            </w:pPr>
            <w:r/>
            <w:r>
              <w:rPr>
                <w:b w:val="0"/>
              </w:rPr>
              <w:t>F02.3 Weather-Aware Plant Guidance</w:t>
            </w:r>
          </w:p>
        </w:tc>
        <w:tc>
          <w:tcPr>
            <w:tcW w:type="dxa" w:w="3456"/>
            <w:vAlign w:val="center"/>
          </w:tcPr>
          <w:p>
            <w:pPr>
              <w:spacing w:after="0"/>
            </w:pPr>
            <w:r/>
            <w:r>
              <w:rPr>
                <w:b w:val="0"/>
              </w:rPr>
              <w:t>Explore plant-specific guidance triggered by materially relevant weather conditions.</w:t>
            </w:r>
          </w:p>
        </w:tc>
        <w:tc>
          <w:tcPr>
            <w:tcW w:type="dxa" w:w="3456"/>
            <w:vAlign w:val="center"/>
          </w:tcPr>
          <w:p>
            <w:pPr>
              <w:spacing w:after="0"/>
            </w:pPr>
            <w:r/>
            <w:r>
              <w:rPr>
                <w:b w:val="0"/>
              </w:rPr>
              <w:t>Discovery feature</w:t>
            </w:r>
          </w:p>
        </w:tc>
      </w:tr>
      <w:tr>
        <w:tc>
          <w:tcPr>
            <w:tcW w:type="dxa" w:w="3456"/>
            <w:vAlign w:val="center"/>
          </w:tcPr>
          <w:p>
            <w:pPr>
              <w:spacing w:after="0"/>
            </w:pPr>
            <w:r/>
            <w:r>
              <w:rPr>
                <w:b w:val="0"/>
              </w:rPr>
              <w:t>F02.4 Severe Weather Alerts and Protective Actions</w:t>
            </w:r>
          </w:p>
        </w:tc>
        <w:tc>
          <w:tcPr>
            <w:tcW w:type="dxa" w:w="3456"/>
            <w:vAlign w:val="center"/>
          </w:tcPr>
          <w:p>
            <w:pPr>
              <w:spacing w:after="0"/>
            </w:pPr>
            <w:r/>
            <w:r>
              <w:rPr>
                <w:b w:val="0"/>
              </w:rPr>
              <w:t>Explore bounded warnings and protective actions where need, rules, content and safety are validated.</w:t>
            </w:r>
          </w:p>
        </w:tc>
        <w:tc>
          <w:tcPr>
            <w:tcW w:type="dxa" w:w="3456"/>
            <w:vAlign w:val="center"/>
          </w:tcPr>
          <w:p>
            <w:pPr>
              <w:spacing w:after="0"/>
            </w:pPr>
            <w:r/>
            <w:r>
              <w:rPr>
                <w:b w:val="0"/>
              </w:rPr>
              <w:t>Governance-gated discovery feature</w:t>
            </w:r>
          </w:p>
        </w:tc>
      </w:tr>
    </w:tbl>
    <w:p>
      <w:pPr>
        <w:pStyle w:val="Heading1"/>
      </w:pPr>
      <w:r>
        <w:t>3. Delivery Translation Outcome</w:t>
      </w:r>
    </w:p>
    <w:p>
      <w:r>
        <w:t>Pass 3 translated the F02 discovery into a controlled delivery structure without assigning future requirement or story IDs. Formal acceptance criteria remain deferred until the discovery gates are resolved. The structure is therefore suitable for portfolio demonstration, but it is not Jira-ready delivery work.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7F0E1"/>
          </w:tcPr>
          <w:p>
            <w:pPr>
              <w:spacing w:after="0"/>
            </w:pPr>
            <w:r/>
            <w:r>
              <w:rPr>
                <w:b/>
              </w:rPr>
              <w:t>Delivery layer</w:t>
            </w:r>
          </w:p>
        </w:tc>
        <w:tc>
          <w:tcPr>
            <w:tcW w:type="dxa" w:w="5184"/>
            <w:vAlign w:val="center"/>
            <w:shd w:fill="E7F0E1"/>
          </w:tcPr>
          <w:p>
            <w:pPr>
              <w:spacing w:after="0"/>
            </w:pPr>
            <w:r/>
            <w:r>
              <w:rPr>
                <w:b/>
              </w:rPr>
              <w:t>Current position</w:t>
            </w:r>
          </w:p>
        </w:tc>
      </w:tr>
      <w:tr>
        <w:tc>
          <w:tcPr>
            <w:tcW w:type="dxa" w:w="5184"/>
            <w:vAlign w:val="center"/>
          </w:tcPr>
          <w:p>
            <w:pPr>
              <w:spacing w:after="0"/>
            </w:pPr>
            <w:r/>
            <w:r>
              <w:rPr>
                <w:b w:val="0"/>
              </w:rPr>
              <w:t>EPIC-F02</w:t>
            </w:r>
          </w:p>
        </w:tc>
        <w:tc>
          <w:tcPr>
            <w:tcW w:type="dxa" w:w="5184"/>
            <w:vAlign w:val="center"/>
          </w:tcPr>
          <w:p>
            <w:pPr>
              <w:spacing w:after="0"/>
            </w:pPr>
            <w:r/>
            <w:r>
              <w:rPr>
                <w:b w:val="0"/>
              </w:rPr>
              <w:t>Discovery candidate</w:t>
            </w:r>
          </w:p>
        </w:tc>
      </w:tr>
      <w:tr>
        <w:tc>
          <w:tcPr>
            <w:tcW w:type="dxa" w:w="5184"/>
            <w:vAlign w:val="center"/>
          </w:tcPr>
          <w:p>
            <w:pPr>
              <w:spacing w:after="0"/>
            </w:pPr>
            <w:r/>
            <w:r>
              <w:rPr>
                <w:b w:val="0"/>
              </w:rPr>
              <w:t>Future requirements</w:t>
            </w:r>
          </w:p>
        </w:tc>
        <w:tc>
          <w:tcPr>
            <w:tcW w:type="dxa" w:w="5184"/>
            <w:vAlign w:val="center"/>
          </w:tcPr>
          <w:p>
            <w:pPr>
              <w:spacing w:after="0"/>
            </w:pPr>
            <w:r/>
            <w:r>
              <w:rPr>
                <w:b w:val="0"/>
              </w:rPr>
              <w:t>Candidate wording only, no IDs assigned</w:t>
            </w:r>
          </w:p>
        </w:tc>
      </w:tr>
      <w:tr>
        <w:tc>
          <w:tcPr>
            <w:tcW w:type="dxa" w:w="5184"/>
            <w:vAlign w:val="center"/>
          </w:tcPr>
          <w:p>
            <w:pPr>
              <w:spacing w:after="0"/>
            </w:pPr>
            <w:r/>
            <w:r>
              <w:rPr>
                <w:b w:val="0"/>
              </w:rPr>
              <w:t>Story direction</w:t>
            </w:r>
          </w:p>
        </w:tc>
        <w:tc>
          <w:tcPr>
            <w:tcW w:type="dxa" w:w="5184"/>
            <w:vAlign w:val="center"/>
          </w:tcPr>
          <w:p>
            <w:pPr>
              <w:spacing w:after="0"/>
            </w:pPr>
            <w:r/>
            <w:r>
              <w:rPr>
                <w:b w:val="0"/>
              </w:rPr>
              <w:t>Candidate wording only, no ID assigned</w:t>
            </w:r>
          </w:p>
        </w:tc>
      </w:tr>
      <w:tr>
        <w:tc>
          <w:tcPr>
            <w:tcW w:type="dxa" w:w="5184"/>
            <w:vAlign w:val="center"/>
          </w:tcPr>
          <w:p>
            <w:pPr>
              <w:spacing w:after="0"/>
            </w:pPr>
            <w:r/>
            <w:r>
              <w:rPr>
                <w:b w:val="0"/>
              </w:rPr>
              <w:t>Acceptance criteria</w:t>
            </w:r>
          </w:p>
        </w:tc>
        <w:tc>
          <w:tcPr>
            <w:tcW w:type="dxa" w:w="5184"/>
            <w:vAlign w:val="center"/>
          </w:tcPr>
          <w:p>
            <w:pPr>
              <w:spacing w:after="0"/>
            </w:pPr>
            <w:r/>
            <w:r>
              <w:rPr>
                <w:b w:val="0"/>
              </w:rPr>
              <w:t>Deferred until discovery gates close</w:t>
            </w:r>
          </w:p>
        </w:tc>
      </w:tr>
      <w:tr>
        <w:tc>
          <w:tcPr>
            <w:tcW w:type="dxa" w:w="5184"/>
            <w:vAlign w:val="center"/>
          </w:tcPr>
          <w:p>
            <w:pPr>
              <w:spacing w:after="0"/>
            </w:pPr>
            <w:r/>
            <w:r>
              <w:rPr>
                <w:b w:val="0"/>
              </w:rPr>
              <w:t>Story Points / Bugs / Sprint results</w:t>
            </w:r>
          </w:p>
        </w:tc>
        <w:tc>
          <w:tcPr>
            <w:tcW w:type="dxa" w:w="5184"/>
            <w:vAlign w:val="center"/>
          </w:tcPr>
          <w:p>
            <w:pPr>
              <w:spacing w:after="0"/>
            </w:pPr>
            <w:r/>
            <w:r>
              <w:rPr>
                <w:b w:val="0"/>
              </w:rPr>
              <w:t>Not applicable at discovery stage</w:t>
            </w:r>
          </w:p>
        </w:tc>
      </w:tr>
    </w:tbl>
    <w:p>
      <w:pPr>
        <w:pStyle w:val="Heading1"/>
      </w:pPr>
      <w:r>
        <w:t>4. Governance and Systems Analysis Signal</w:t>
      </w:r>
    </w:p>
    <w:p>
      <w:r>
        <w:t>The strongest governance point is that F02 introduces a distinct weather and climate question rather than absorbing it into the existing F01 plant-content authority thread. Plant-care content ownership remains an F01 governance concern. Weather rules, regional interpretation and advanced modelling may require separate weather or climate expertise. I did not add that specialist role to the MVP stakeholder register.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7F0E1"/>
          </w:tcPr>
          <w:p>
            <w:pPr>
              <w:spacing w:after="0"/>
            </w:pPr>
            <w:r/>
            <w:r>
              <w:rPr>
                <w:b/>
              </w:rPr>
              <w:t>Domain</w:t>
            </w:r>
          </w:p>
        </w:tc>
        <w:tc>
          <w:tcPr>
            <w:tcW w:type="dxa" w:w="5184"/>
            <w:vAlign w:val="center"/>
            <w:shd w:fill="E7F0E1"/>
          </w:tcPr>
          <w:p>
            <w:pPr>
              <w:spacing w:after="0"/>
            </w:pPr>
            <w:r/>
            <w:r>
              <w:rPr>
                <w:b/>
              </w:rPr>
              <w:t>Decision boundary</w:t>
            </w:r>
          </w:p>
        </w:tc>
      </w:tr>
      <w:tr>
        <w:tc>
          <w:tcPr>
            <w:tcW w:type="dxa" w:w="5184"/>
            <w:vAlign w:val="center"/>
          </w:tcPr>
          <w:p>
            <w:pPr>
              <w:spacing w:after="0"/>
            </w:pPr>
            <w:r/>
            <w:r>
              <w:rPr>
                <w:b w:val="0"/>
              </w:rPr>
              <w:t>Privacy</w:t>
            </w:r>
          </w:p>
        </w:tc>
        <w:tc>
          <w:tcPr>
            <w:tcW w:type="dxa" w:w="5184"/>
            <w:vAlign w:val="center"/>
          </w:tcPr>
          <w:p>
            <w:pPr>
              <w:spacing w:after="0"/>
            </w:pPr>
            <w:r/>
            <w:r>
              <w:rPr>
                <w:b w:val="0"/>
              </w:rPr>
              <w:t>Location use requires a defined permission and handling model.</w:t>
            </w:r>
          </w:p>
        </w:tc>
      </w:tr>
      <w:tr>
        <w:tc>
          <w:tcPr>
            <w:tcW w:type="dxa" w:w="5184"/>
            <w:vAlign w:val="center"/>
          </w:tcPr>
          <w:p>
            <w:pPr>
              <w:spacing w:after="0"/>
            </w:pPr>
            <w:r/>
            <w:r>
              <w:rPr>
                <w:b w:val="0"/>
              </w:rPr>
              <w:t>Reliability</w:t>
            </w:r>
          </w:p>
        </w:tc>
        <w:tc>
          <w:tcPr>
            <w:tcW w:type="dxa" w:w="5184"/>
            <w:vAlign w:val="center"/>
          </w:tcPr>
          <w:p>
            <w:pPr>
              <w:spacing w:after="0"/>
            </w:pPr>
            <w:r/>
            <w:r>
              <w:rPr>
                <w:b w:val="0"/>
              </w:rPr>
              <w:t>Missing, stale or failed external weather data needs defined fallback behaviour.</w:t>
            </w:r>
          </w:p>
        </w:tc>
      </w:tr>
      <w:tr>
        <w:tc>
          <w:tcPr>
            <w:tcW w:type="dxa" w:w="5184"/>
            <w:vAlign w:val="center"/>
          </w:tcPr>
          <w:p>
            <w:pPr>
              <w:spacing w:after="0"/>
            </w:pPr>
            <w:r/>
            <w:r>
              <w:rPr>
                <w:b w:val="0"/>
              </w:rPr>
              <w:t>Rule ownership</w:t>
            </w:r>
          </w:p>
        </w:tc>
        <w:tc>
          <w:tcPr>
            <w:tcW w:type="dxa" w:w="5184"/>
            <w:vAlign w:val="center"/>
          </w:tcPr>
          <w:p>
            <w:pPr>
              <w:spacing w:after="0"/>
            </w:pPr>
            <w:r/>
            <w:r>
              <w:rPr>
                <w:b w:val="0"/>
              </w:rPr>
              <w:t>Weather signals must map to bounded care actions with an identified owner.</w:t>
            </w:r>
          </w:p>
        </w:tc>
      </w:tr>
      <w:tr>
        <w:tc>
          <w:tcPr>
            <w:tcW w:type="dxa" w:w="5184"/>
            <w:vAlign w:val="center"/>
          </w:tcPr>
          <w:p>
            <w:pPr>
              <w:spacing w:after="0"/>
            </w:pPr>
            <w:r/>
            <w:r>
              <w:rPr>
                <w:b w:val="0"/>
              </w:rPr>
              <w:t>Alert safety</w:t>
            </w:r>
          </w:p>
        </w:tc>
        <w:tc>
          <w:tcPr>
            <w:tcW w:type="dxa" w:w="5184"/>
            <w:vAlign w:val="center"/>
          </w:tcPr>
          <w:p>
            <w:pPr>
              <w:spacing w:after="0"/>
            </w:pPr>
            <w:r/>
            <w:r>
              <w:rPr>
                <w:b w:val="0"/>
              </w:rPr>
              <w:t>Warnings require a clear user need and non-noisy threshold.</w:t>
            </w:r>
          </w:p>
        </w:tc>
      </w:tr>
      <w:tr>
        <w:tc>
          <w:tcPr>
            <w:tcW w:type="dxa" w:w="5184"/>
            <w:vAlign w:val="center"/>
          </w:tcPr>
          <w:p>
            <w:pPr>
              <w:spacing w:after="0"/>
            </w:pPr>
            <w:r/>
            <w:r>
              <w:rPr>
                <w:b w:val="0"/>
              </w:rPr>
              <w:t>Explainability</w:t>
            </w:r>
          </w:p>
        </w:tc>
        <w:tc>
          <w:tcPr>
            <w:tcW w:type="dxa" w:w="5184"/>
            <w:vAlign w:val="center"/>
          </w:tcPr>
          <w:p>
            <w:pPr>
              <w:spacing w:after="0"/>
            </w:pPr>
            <w:r/>
            <w:r>
              <w:rPr>
                <w:b w:val="0"/>
              </w:rPr>
              <w:t>Weather-driven guidance needs understandable and bounded meaning.</w:t>
            </w:r>
          </w:p>
        </w:tc>
      </w:tr>
    </w:tbl>
    <w:p>
      <w:pPr>
        <w:pStyle w:val="Heading1"/>
      </w:pPr>
      <w:r>
        <w:t>5. Evidence and Portfolio Boundary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7F0E1"/>
          </w:tcPr>
          <w:p>
            <w:pPr>
              <w:spacing w:after="0"/>
            </w:pPr>
            <w:r/>
            <w:r>
              <w:rPr>
                <w:b/>
              </w:rPr>
              <w:t>What this package demonstrates</w:t>
            </w:r>
          </w:p>
        </w:tc>
        <w:tc>
          <w:tcPr>
            <w:tcW w:type="dxa" w:w="5184"/>
            <w:vAlign w:val="center"/>
            <w:shd w:fill="E7F0E1"/>
          </w:tcPr>
          <w:p>
            <w:pPr>
              <w:spacing w:after="0"/>
            </w:pPr>
            <w:r/>
            <w:r>
              <w:rPr>
                <w:b/>
              </w:rPr>
              <w:t>What it does not claim</w:t>
            </w:r>
          </w:p>
        </w:tc>
      </w:tr>
      <w:tr>
        <w:tc>
          <w:tcPr>
            <w:tcW w:type="dxa" w:w="5184"/>
            <w:vAlign w:val="center"/>
          </w:tcPr>
          <w:p>
            <w:pPr>
              <w:spacing w:after="0"/>
            </w:pPr>
            <w:r/>
            <w:r>
              <w:rPr>
                <w:b w:val="0"/>
              </w:rPr>
              <w:t>Opportunity analysis and future-state product thinking</w:t>
            </w:r>
          </w:p>
        </w:tc>
        <w:tc>
          <w:tcPr>
            <w:tcW w:type="dxa" w:w="5184"/>
            <w:vAlign w:val="center"/>
          </w:tcPr>
          <w:p>
            <w:pPr>
              <w:spacing w:after="0"/>
            </w:pPr>
            <w:r/>
            <w:r>
              <w:rPr>
                <w:b w:val="0"/>
              </w:rPr>
              <w:t>A production weather integration</w:t>
            </w:r>
          </w:p>
        </w:tc>
      </w:tr>
      <w:tr>
        <w:tc>
          <w:tcPr>
            <w:tcW w:type="dxa" w:w="5184"/>
            <w:vAlign w:val="center"/>
          </w:tcPr>
          <w:p>
            <w:pPr>
              <w:spacing w:after="0"/>
            </w:pPr>
            <w:r/>
            <w:r>
              <w:rPr>
                <w:b w:val="0"/>
              </w:rPr>
              <w:t>Epic and feature decomposition</w:t>
            </w:r>
          </w:p>
        </w:tc>
        <w:tc>
          <w:tcPr>
            <w:tcW w:type="dxa" w:w="5184"/>
            <w:vAlign w:val="center"/>
          </w:tcPr>
          <w:p>
            <w:pPr>
              <w:spacing w:after="0"/>
            </w:pPr>
            <w:r/>
            <w:r>
              <w:rPr>
                <w:b w:val="0"/>
              </w:rPr>
              <w:t>Built functionality</w:t>
            </w:r>
          </w:p>
        </w:tc>
      </w:tr>
      <w:tr>
        <w:tc>
          <w:tcPr>
            <w:tcW w:type="dxa" w:w="5184"/>
            <w:vAlign w:val="center"/>
          </w:tcPr>
          <w:p>
            <w:pPr>
              <w:spacing w:after="0"/>
            </w:pPr>
            <w:r/>
            <w:r>
              <w:rPr>
                <w:b w:val="0"/>
              </w:rPr>
              <w:t>Requirements-engineering discipline</w:t>
            </w:r>
          </w:p>
        </w:tc>
        <w:tc>
          <w:tcPr>
            <w:tcW w:type="dxa" w:w="5184"/>
            <w:vAlign w:val="center"/>
          </w:tcPr>
          <w:p>
            <w:pPr>
              <w:spacing w:after="0"/>
            </w:pPr>
            <w:r/>
            <w:r>
              <w:rPr>
                <w:b w:val="0"/>
              </w:rPr>
              <w:t>Formal acceptance or Product Owner approval</w:t>
            </w:r>
          </w:p>
        </w:tc>
      </w:tr>
      <w:tr>
        <w:tc>
          <w:tcPr>
            <w:tcW w:type="dxa" w:w="5184"/>
            <w:vAlign w:val="center"/>
          </w:tcPr>
          <w:p>
            <w:pPr>
              <w:spacing w:after="0"/>
            </w:pPr>
            <w:r/>
            <w:r>
              <w:rPr>
                <w:b w:val="0"/>
              </w:rPr>
              <w:t>Governance and dependency analysis</w:t>
            </w:r>
          </w:p>
        </w:tc>
        <w:tc>
          <w:tcPr>
            <w:tcW w:type="dxa" w:w="5184"/>
            <w:vAlign w:val="center"/>
          </w:tcPr>
          <w:p>
            <w:pPr>
              <w:spacing w:after="0"/>
            </w:pPr>
            <w:r/>
            <w:r>
              <w:rPr>
                <w:b w:val="0"/>
              </w:rPr>
              <w:t>Real sprint delivery or Jira completion</w:t>
            </w:r>
          </w:p>
        </w:tc>
      </w:tr>
      <w:tr>
        <w:tc>
          <w:tcPr>
            <w:tcW w:type="dxa" w:w="5184"/>
            <w:vAlign w:val="center"/>
          </w:tcPr>
          <w:p>
            <w:pPr>
              <w:spacing w:after="0"/>
            </w:pPr>
            <w:r/>
            <w:r>
              <w:rPr>
                <w:b w:val="0"/>
              </w:rPr>
              <w:t>Traceable discovery-to-delivery translation</w:t>
            </w:r>
          </w:p>
        </w:tc>
        <w:tc>
          <w:tcPr>
            <w:tcW w:type="dxa" w:w="5184"/>
            <w:vAlign w:val="center"/>
          </w:tcPr>
          <w:p>
            <w:pPr>
              <w:spacing w:after="0"/>
            </w:pPr>
            <w:r/>
            <w:r>
              <w:rPr>
                <w:b w:val="0"/>
              </w:rPr>
              <w:t>Measured benefits or usage results</w:t>
            </w:r>
          </w:p>
        </w:tc>
      </w:tr>
    </w:tbl>
    <w:p>
      <w:pPr>
        <w:pStyle w:val="Heading1"/>
      </w:pPr>
      <w:r>
        <w:t>6. Traceability</w:t>
      </w:r>
    </w:p>
    <w:p>
      <w:r>
        <w:t>This package carries forward the controlled future-state scope from the revalidated Product Vision and Capability Map, the F02 Deep Discovery Pass 2, the F02 Delivery Translation Pass 3, and the F02 Cross-Artifact QA Pass 4. The four feature names are preserved exactly across the F02 sequence.</w:t>
      </w:r>
    </w:p>
    <w:p>
      <w:pPr>
        <w:pStyle w:val="Heading1"/>
      </w:pPr>
      <w:r>
        <w:t>7. Recruiter-Facing Signal</w:t>
      </w:r>
    </w:p>
    <w:p>
      <w:r>
        <w:t>F02 shows that I can take a broad product idea involving location, external data, privacy and contextual decisioning and turn it into a governed discovery structure without overstating readiness. The portfolio signal is systems thinking, requirements discipline, dependency analysis and honest progression control.</w:t>
      </w:r>
    </w:p>
    <w:p>
      <w:pPr>
        <w:pStyle w:val="Heading1"/>
      </w:pPr>
      <w:r>
        <w:t>8. Next Real-World Gate</w:t>
      </w:r>
    </w:p>
    <w:p>
      <w:r>
        <w:t>The next real-world step is not Jira creation. GreenSphere would need to confirm the user problem, minimum reliable inputs, privacy basis, weather-source reliability, weather-rule ownership and the safe boundary for alerts and protective actions. Only then should formal future requirement IDs, acceptance criteria, prioritisation and delivery planning proceed.</w:t>
      </w:r>
    </w:p>
    <w:p>
      <w:pPr>
        <w:jc w:val="center"/>
      </w:pPr>
      <w:r>
        <w:rPr>
          <w:b/>
        </w:rPr>
        <w:t>EPIC-F02 sequence packaged: Pass 2 • Pass 3 • Pass 4 • Pass 5</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