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EcoGrow Future-State Discovery</w:t>
        <w:br/>
        <w:t>EPIC-F03 Plant Health and Protection | Pass 4 Cross-Artifact QA</w:t>
      </w:r>
    </w:p>
    <w:p>
      <w:pPr>
        <w:jc w:val="center"/>
      </w:pPr>
      <w:r>
        <w:rPr>
          <w:b/>
        </w:rPr>
        <w:t>Prepared by Doris Frank, Business Analyst</w:t>
      </w:r>
    </w:p>
    <w:p>
      <w:pPr>
        <w:jc w:val="center"/>
      </w:pPr>
      <w:r>
        <w:t>Status: Independent QA of Pass 3 against Pass 2 and the locked future-state governance rules.</w:t>
      </w:r>
    </w:p>
    <w:p>
      <w:pPr>
        <w:pStyle w:val="Heading1"/>
      </w:pPr>
      <w:r>
        <w:t>1. QA Verdict</w:t>
      </w:r>
    </w:p>
    <w:p>
      <w:r>
        <w:t>PASS. I revalidated Pass 3 against the Pass 2 discovery boundary and the stricter F03 progression model. No corrective change is required before Pass 5.</w:t>
      </w:r>
    </w:p>
    <w:p>
      <w:pPr>
        <w:pStyle w:val="Heading1"/>
      </w:pPr>
      <w:r>
        <w:t>2. Cross-Artifact Feature Integrity</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628"/>
            <w:shd w:fill="E8F0E8"/>
            <w:vAlign w:val="center"/>
          </w:tcPr>
          <w:p>
            <w:r>
              <w:rPr>
                <w:b/>
                <w:sz w:val="16"/>
              </w:rPr>
              <w:t>ID</w:t>
            </w:r>
          </w:p>
        </w:tc>
        <w:tc>
          <w:tcPr>
            <w:tcW w:type="dxa" w:w="2628"/>
            <w:shd w:fill="E8F0E8"/>
            <w:vAlign w:val="center"/>
          </w:tcPr>
          <w:p>
            <w:r>
              <w:rPr>
                <w:b/>
                <w:sz w:val="16"/>
              </w:rPr>
              <w:t>Pass 2</w:t>
            </w:r>
          </w:p>
        </w:tc>
        <w:tc>
          <w:tcPr>
            <w:tcW w:type="dxa" w:w="2628"/>
            <w:shd w:fill="E8F0E8"/>
            <w:vAlign w:val="center"/>
          </w:tcPr>
          <w:p>
            <w:r>
              <w:rPr>
                <w:b/>
                <w:sz w:val="16"/>
              </w:rPr>
              <w:t>Pass 3</w:t>
            </w:r>
          </w:p>
        </w:tc>
        <w:tc>
          <w:tcPr>
            <w:tcW w:type="dxa" w:w="2628"/>
            <w:shd w:fill="E8F0E8"/>
            <w:vAlign w:val="center"/>
          </w:tcPr>
          <w:p>
            <w:r>
              <w:rPr>
                <w:b/>
                <w:sz w:val="16"/>
              </w:rPr>
              <w:t>Result</w:t>
            </w:r>
          </w:p>
        </w:tc>
      </w:tr>
      <w:tr>
        <w:tc>
          <w:tcPr>
            <w:tcW w:type="dxa" w:w="2628"/>
            <w:vAlign w:val="center"/>
          </w:tcPr>
          <w:p>
            <w:r>
              <w:rPr>
                <w:sz w:val="16"/>
              </w:rPr>
              <w:t>F03.1</w:t>
            </w:r>
          </w:p>
        </w:tc>
        <w:tc>
          <w:tcPr>
            <w:tcW w:type="dxa" w:w="2628"/>
            <w:vAlign w:val="center"/>
          </w:tcPr>
          <w:p>
            <w:r>
              <w:rPr>
                <w:sz w:val="16"/>
              </w:rPr>
              <w:t>Plant-Health Symptom Capture</w:t>
            </w:r>
          </w:p>
        </w:tc>
        <w:tc>
          <w:tcPr>
            <w:tcW w:type="dxa" w:w="2628"/>
            <w:vAlign w:val="center"/>
          </w:tcPr>
          <w:p>
            <w:r>
              <w:rPr>
                <w:sz w:val="16"/>
              </w:rPr>
              <w:t>Plant-Health Symptom Capture</w:t>
            </w:r>
          </w:p>
        </w:tc>
        <w:tc>
          <w:tcPr>
            <w:tcW w:type="dxa" w:w="2628"/>
            <w:vAlign w:val="center"/>
          </w:tcPr>
          <w:p>
            <w:r>
              <w:rPr>
                <w:sz w:val="16"/>
              </w:rPr>
              <w:t>Match</w:t>
            </w:r>
          </w:p>
        </w:tc>
      </w:tr>
      <w:tr>
        <w:tc>
          <w:tcPr>
            <w:tcW w:type="dxa" w:w="2628"/>
            <w:vAlign w:val="center"/>
          </w:tcPr>
          <w:p>
            <w:r>
              <w:rPr>
                <w:sz w:val="16"/>
              </w:rPr>
              <w:t>F03.2</w:t>
            </w:r>
          </w:p>
        </w:tc>
        <w:tc>
          <w:tcPr>
            <w:tcW w:type="dxa" w:w="2628"/>
            <w:vAlign w:val="center"/>
          </w:tcPr>
          <w:p>
            <w:r>
              <w:rPr>
                <w:sz w:val="16"/>
              </w:rPr>
              <w:t>Plant-Health Classification</w:t>
            </w:r>
          </w:p>
        </w:tc>
        <w:tc>
          <w:tcPr>
            <w:tcW w:type="dxa" w:w="2628"/>
            <w:vAlign w:val="center"/>
          </w:tcPr>
          <w:p>
            <w:r>
              <w:rPr>
                <w:sz w:val="16"/>
              </w:rPr>
              <w:t>Plant-Health Classification</w:t>
            </w:r>
          </w:p>
        </w:tc>
        <w:tc>
          <w:tcPr>
            <w:tcW w:type="dxa" w:w="2628"/>
            <w:vAlign w:val="center"/>
          </w:tcPr>
          <w:p>
            <w:r>
              <w:rPr>
                <w:sz w:val="16"/>
              </w:rPr>
              <w:t>Match</w:t>
            </w:r>
          </w:p>
        </w:tc>
      </w:tr>
      <w:tr>
        <w:tc>
          <w:tcPr>
            <w:tcW w:type="dxa" w:w="2628"/>
            <w:vAlign w:val="center"/>
          </w:tcPr>
          <w:p>
            <w:r>
              <w:rPr>
                <w:sz w:val="16"/>
              </w:rPr>
              <w:t>F03.3</w:t>
            </w:r>
          </w:p>
        </w:tc>
        <w:tc>
          <w:tcPr>
            <w:tcW w:type="dxa" w:w="2628"/>
            <w:vAlign w:val="center"/>
          </w:tcPr>
          <w:p>
            <w:r>
              <w:rPr>
                <w:sz w:val="16"/>
              </w:rPr>
              <w:t>Protection Guidance</w:t>
            </w:r>
          </w:p>
        </w:tc>
        <w:tc>
          <w:tcPr>
            <w:tcW w:type="dxa" w:w="2628"/>
            <w:vAlign w:val="center"/>
          </w:tcPr>
          <w:p>
            <w:r>
              <w:rPr>
                <w:sz w:val="16"/>
              </w:rPr>
              <w:t>Protection Guidance</w:t>
            </w:r>
          </w:p>
        </w:tc>
        <w:tc>
          <w:tcPr>
            <w:tcW w:type="dxa" w:w="2628"/>
            <w:vAlign w:val="center"/>
          </w:tcPr>
          <w:p>
            <w:r>
              <w:rPr>
                <w:sz w:val="16"/>
              </w:rPr>
              <w:t>Match</w:t>
            </w:r>
          </w:p>
        </w:tc>
      </w:tr>
      <w:tr>
        <w:tc>
          <w:tcPr>
            <w:tcW w:type="dxa" w:w="2628"/>
            <w:vAlign w:val="center"/>
          </w:tcPr>
          <w:p>
            <w:r>
              <w:rPr>
                <w:sz w:val="16"/>
              </w:rPr>
              <w:t>F03.4</w:t>
            </w:r>
          </w:p>
        </w:tc>
        <w:tc>
          <w:tcPr>
            <w:tcW w:type="dxa" w:w="2628"/>
            <w:vAlign w:val="center"/>
          </w:tcPr>
          <w:p>
            <w:r>
              <w:rPr>
                <w:sz w:val="16"/>
              </w:rPr>
              <w:t>Treatment Guidance</w:t>
            </w:r>
          </w:p>
        </w:tc>
        <w:tc>
          <w:tcPr>
            <w:tcW w:type="dxa" w:w="2628"/>
            <w:vAlign w:val="center"/>
          </w:tcPr>
          <w:p>
            <w:r>
              <w:rPr>
                <w:sz w:val="16"/>
              </w:rPr>
              <w:t>Treatment Guidance</w:t>
            </w:r>
          </w:p>
        </w:tc>
        <w:tc>
          <w:tcPr>
            <w:tcW w:type="dxa" w:w="2628"/>
            <w:vAlign w:val="center"/>
          </w:tcPr>
          <w:p>
            <w:r>
              <w:rPr>
                <w:sz w:val="16"/>
              </w:rPr>
              <w:t>Match</w:t>
            </w:r>
          </w:p>
        </w:tc>
      </w:tr>
    </w:tbl>
    <w:p>
      <w:pPr>
        <w:pStyle w:val="Heading1"/>
      </w:pPr>
      <w:r>
        <w:t>3. ID and Scope Integrity</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504"/>
            <w:shd w:fill="E8F0E8"/>
            <w:vAlign w:val="center"/>
          </w:tcPr>
          <w:p>
            <w:r>
              <w:rPr>
                <w:b/>
                <w:sz w:val="16"/>
              </w:rPr>
              <w:t>Check</w:t>
            </w:r>
          </w:p>
        </w:tc>
        <w:tc>
          <w:tcPr>
            <w:tcW w:type="dxa" w:w="3504"/>
            <w:shd w:fill="E8F0E8"/>
            <w:vAlign w:val="center"/>
          </w:tcPr>
          <w:p>
            <w:r>
              <w:rPr>
                <w:b/>
                <w:sz w:val="16"/>
              </w:rPr>
              <w:t>Expected boundary</w:t>
            </w:r>
          </w:p>
        </w:tc>
        <w:tc>
          <w:tcPr>
            <w:tcW w:type="dxa" w:w="3504"/>
            <w:shd w:fill="E8F0E8"/>
            <w:vAlign w:val="center"/>
          </w:tcPr>
          <w:p>
            <w:r>
              <w:rPr>
                <w:b/>
                <w:sz w:val="16"/>
              </w:rPr>
              <w:t>Pass 4 result</w:t>
            </w:r>
          </w:p>
        </w:tc>
      </w:tr>
      <w:tr>
        <w:tc>
          <w:tcPr>
            <w:tcW w:type="dxa" w:w="3504"/>
            <w:vAlign w:val="center"/>
          </w:tcPr>
          <w:p>
            <w:r>
              <w:rPr>
                <w:sz w:val="16"/>
              </w:rPr>
              <w:t>Future requirement IDs</w:t>
            </w:r>
          </w:p>
        </w:tc>
        <w:tc>
          <w:tcPr>
            <w:tcW w:type="dxa" w:w="3504"/>
            <w:vAlign w:val="center"/>
          </w:tcPr>
          <w:p>
            <w:r>
              <w:rPr>
                <w:sz w:val="16"/>
              </w:rPr>
              <w:t>None assigned</w:t>
            </w:r>
          </w:p>
        </w:tc>
        <w:tc>
          <w:tcPr>
            <w:tcW w:type="dxa" w:w="3504"/>
            <w:vAlign w:val="center"/>
          </w:tcPr>
          <w:p>
            <w:r>
              <w:rPr>
                <w:sz w:val="16"/>
              </w:rPr>
              <w:t>Pass 3 correctly remains unnumbered</w:t>
            </w:r>
          </w:p>
        </w:tc>
      </w:tr>
      <w:tr>
        <w:tc>
          <w:tcPr>
            <w:tcW w:type="dxa" w:w="3504"/>
            <w:vAlign w:val="center"/>
          </w:tcPr>
          <w:p>
            <w:r>
              <w:rPr>
                <w:sz w:val="16"/>
              </w:rPr>
              <w:t>Future story IDs</w:t>
            </w:r>
          </w:p>
        </w:tc>
        <w:tc>
          <w:tcPr>
            <w:tcW w:type="dxa" w:w="3504"/>
            <w:vAlign w:val="center"/>
          </w:tcPr>
          <w:p>
            <w:r>
              <w:rPr>
                <w:sz w:val="16"/>
              </w:rPr>
              <w:t>None assigned</w:t>
            </w:r>
          </w:p>
        </w:tc>
        <w:tc>
          <w:tcPr>
            <w:tcW w:type="dxa" w:w="3504"/>
            <w:vAlign w:val="center"/>
          </w:tcPr>
          <w:p>
            <w:r>
              <w:rPr>
                <w:sz w:val="16"/>
              </w:rPr>
              <w:t>Pass 3 correctly remains unnumbered</w:t>
            </w:r>
          </w:p>
        </w:tc>
      </w:tr>
      <w:tr>
        <w:tc>
          <w:tcPr>
            <w:tcW w:type="dxa" w:w="3504"/>
            <w:vAlign w:val="center"/>
          </w:tcPr>
          <w:p>
            <w:r>
              <w:rPr>
                <w:sz w:val="16"/>
              </w:rPr>
              <w:t>MVP IDs</w:t>
            </w:r>
          </w:p>
        </w:tc>
        <w:tc>
          <w:tcPr>
            <w:tcW w:type="dxa" w:w="3504"/>
            <w:vAlign w:val="center"/>
          </w:tcPr>
          <w:p>
            <w:r>
              <w:rPr>
                <w:sz w:val="16"/>
              </w:rPr>
              <w:t>FR-01 to FR-09 / US-01 to US-07</w:t>
            </w:r>
          </w:p>
        </w:tc>
        <w:tc>
          <w:tcPr>
            <w:tcW w:type="dxa" w:w="3504"/>
            <w:vAlign w:val="center"/>
          </w:tcPr>
          <w:p>
            <w:r>
              <w:rPr>
                <w:sz w:val="16"/>
              </w:rPr>
              <w:t>Untouched</w:t>
            </w:r>
          </w:p>
        </w:tc>
      </w:tr>
      <w:tr>
        <w:tc>
          <w:tcPr>
            <w:tcW w:type="dxa" w:w="3504"/>
            <w:vAlign w:val="center"/>
          </w:tcPr>
          <w:p>
            <w:r>
              <w:rPr>
                <w:sz w:val="16"/>
              </w:rPr>
              <w:t>F01 IDs</w:t>
            </w:r>
          </w:p>
        </w:tc>
        <w:tc>
          <w:tcPr>
            <w:tcW w:type="dxa" w:w="3504"/>
            <w:vAlign w:val="center"/>
          </w:tcPr>
          <w:p>
            <w:r>
              <w:rPr>
                <w:sz w:val="16"/>
              </w:rPr>
              <w:t>FR-10 / FR-11 / US-08</w:t>
            </w:r>
          </w:p>
        </w:tc>
        <w:tc>
          <w:tcPr>
            <w:tcW w:type="dxa" w:w="3504"/>
            <w:vAlign w:val="center"/>
          </w:tcPr>
          <w:p>
            <w:r>
              <w:rPr>
                <w:sz w:val="16"/>
              </w:rPr>
              <w:t>No reuse or collision</w:t>
            </w:r>
          </w:p>
        </w:tc>
      </w:tr>
      <w:tr>
        <w:tc>
          <w:tcPr>
            <w:tcW w:type="dxa" w:w="3504"/>
            <w:vAlign w:val="center"/>
          </w:tcPr>
          <w:p>
            <w:r>
              <w:rPr>
                <w:sz w:val="16"/>
              </w:rPr>
              <w:t>NFR IDs</w:t>
            </w:r>
          </w:p>
        </w:tc>
        <w:tc>
          <w:tcPr>
            <w:tcW w:type="dxa" w:w="3504"/>
            <w:vAlign w:val="center"/>
          </w:tcPr>
          <w:p>
            <w:r>
              <w:rPr>
                <w:sz w:val="16"/>
              </w:rPr>
              <w:t>None created</w:t>
            </w:r>
          </w:p>
        </w:tc>
        <w:tc>
          <w:tcPr>
            <w:tcW w:type="dxa" w:w="3504"/>
            <w:vAlign w:val="center"/>
          </w:tcPr>
          <w:p>
            <w:r>
              <w:rPr>
                <w:sz w:val="16"/>
              </w:rPr>
              <w:t>Pass 3 keeps NFRs as themes</w:t>
            </w:r>
          </w:p>
        </w:tc>
      </w:tr>
      <w:tr>
        <w:tc>
          <w:tcPr>
            <w:tcW w:type="dxa" w:w="3504"/>
            <w:vAlign w:val="center"/>
          </w:tcPr>
          <w:p>
            <w:r>
              <w:rPr>
                <w:sz w:val="16"/>
              </w:rPr>
              <w:t>Stakeholder IDs</w:t>
            </w:r>
          </w:p>
        </w:tc>
        <w:tc>
          <w:tcPr>
            <w:tcW w:type="dxa" w:w="3504"/>
            <w:vAlign w:val="center"/>
          </w:tcPr>
          <w:p>
            <w:r>
              <w:rPr>
                <w:sz w:val="16"/>
              </w:rPr>
              <w:t>No new STK IDs</w:t>
            </w:r>
          </w:p>
        </w:tc>
        <w:tc>
          <w:tcPr>
            <w:tcW w:type="dxa" w:w="3504"/>
            <w:vAlign w:val="center"/>
          </w:tcPr>
          <w:p>
            <w:r>
              <w:rPr>
                <w:sz w:val="16"/>
              </w:rPr>
              <w:t>No retrospective MVP stakeholder additions</w:t>
            </w:r>
          </w:p>
        </w:tc>
      </w:tr>
      <w:tr>
        <w:tc>
          <w:tcPr>
            <w:tcW w:type="dxa" w:w="3504"/>
            <w:vAlign w:val="center"/>
          </w:tcPr>
          <w:p>
            <w:r>
              <w:rPr>
                <w:sz w:val="16"/>
              </w:rPr>
              <w:t>Jira</w:t>
            </w:r>
          </w:p>
        </w:tc>
        <w:tc>
          <w:tcPr>
            <w:tcW w:type="dxa" w:w="3504"/>
            <w:vAlign w:val="center"/>
          </w:tcPr>
          <w:p>
            <w:r>
              <w:rPr>
                <w:sz w:val="16"/>
              </w:rPr>
              <w:t>Not authorised</w:t>
            </w:r>
          </w:p>
        </w:tc>
        <w:tc>
          <w:tcPr>
            <w:tcW w:type="dxa" w:w="3504"/>
            <w:vAlign w:val="center"/>
          </w:tcPr>
          <w:p>
            <w:r>
              <w:rPr>
                <w:sz w:val="16"/>
              </w:rPr>
              <w:t>No Jira commitment created</w:t>
            </w:r>
          </w:p>
        </w:tc>
      </w:tr>
    </w:tbl>
    <w:p>
      <w:pPr>
        <w:pStyle w:val="Heading1"/>
      </w:pPr>
      <w:r>
        <w:t>4. Governance and Safety Integrity</w:t>
      </w:r>
    </w:p>
    <w:p>
      <w:r>
        <w:t>I confirmed Pass 3 keeps F03 governance separate from the F01 content-authority question and the F02 weather/climate governance question. The four-role governance model carries forward without any unearned decision authority assigned.</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504"/>
            <w:shd w:fill="E8F0E8"/>
            <w:vAlign w:val="center"/>
          </w:tcPr>
          <w:p>
            <w:r>
              <w:rPr>
                <w:b/>
                <w:sz w:val="16"/>
              </w:rPr>
              <w:t>Area</w:t>
            </w:r>
          </w:p>
        </w:tc>
        <w:tc>
          <w:tcPr>
            <w:tcW w:type="dxa" w:w="3504"/>
            <w:shd w:fill="E8F0E8"/>
            <w:vAlign w:val="center"/>
          </w:tcPr>
          <w:p>
            <w:r>
              <w:rPr>
                <w:b/>
                <w:sz w:val="16"/>
              </w:rPr>
              <w:t>Pass 3 position</w:t>
            </w:r>
          </w:p>
        </w:tc>
        <w:tc>
          <w:tcPr>
            <w:tcW w:type="dxa" w:w="3504"/>
            <w:shd w:fill="E8F0E8"/>
            <w:vAlign w:val="center"/>
          </w:tcPr>
          <w:p>
            <w:r>
              <w:rPr>
                <w:b/>
                <w:sz w:val="16"/>
              </w:rPr>
              <w:t>QA result</w:t>
            </w:r>
          </w:p>
        </w:tc>
      </w:tr>
      <w:tr>
        <w:tc>
          <w:tcPr>
            <w:tcW w:type="dxa" w:w="3504"/>
            <w:vAlign w:val="center"/>
          </w:tcPr>
          <w:p>
            <w:r>
              <w:rPr>
                <w:sz w:val="16"/>
              </w:rPr>
              <w:t>Plant Science / Horticulture SME</w:t>
            </w:r>
          </w:p>
        </w:tc>
        <w:tc>
          <w:tcPr>
            <w:tcW w:type="dxa" w:w="3504"/>
            <w:vAlign w:val="center"/>
          </w:tcPr>
          <w:p>
            <w:r>
              <w:rPr>
                <w:sz w:val="16"/>
              </w:rPr>
              <w:t>Future governance dependency</w:t>
            </w:r>
          </w:p>
        </w:tc>
        <w:tc>
          <w:tcPr>
            <w:tcW w:type="dxa" w:w="3504"/>
            <w:vAlign w:val="center"/>
          </w:tcPr>
          <w:p>
            <w:r>
              <w:rPr>
                <w:sz w:val="16"/>
              </w:rPr>
              <w:t>Preserved</w:t>
            </w:r>
          </w:p>
        </w:tc>
      </w:tr>
      <w:tr>
        <w:tc>
          <w:tcPr>
            <w:tcW w:type="dxa" w:w="3504"/>
            <w:vAlign w:val="center"/>
          </w:tcPr>
          <w:p>
            <w:r>
              <w:rPr>
                <w:sz w:val="16"/>
              </w:rPr>
              <w:t>Specialist Plant Protection / Pest Management</w:t>
            </w:r>
          </w:p>
        </w:tc>
        <w:tc>
          <w:tcPr>
            <w:tcW w:type="dxa" w:w="3504"/>
            <w:vAlign w:val="center"/>
          </w:tcPr>
          <w:p>
            <w:r>
              <w:rPr>
                <w:sz w:val="16"/>
              </w:rPr>
              <w:t>Open governance question</w:t>
            </w:r>
          </w:p>
        </w:tc>
        <w:tc>
          <w:tcPr>
            <w:tcW w:type="dxa" w:w="3504"/>
            <w:vAlign w:val="center"/>
          </w:tcPr>
          <w:p>
            <w:r>
              <w:rPr>
                <w:sz w:val="16"/>
              </w:rPr>
              <w:t>Preserved</w:t>
            </w:r>
          </w:p>
        </w:tc>
      </w:tr>
      <w:tr>
        <w:tc>
          <w:tcPr>
            <w:tcW w:type="dxa" w:w="3504"/>
            <w:vAlign w:val="center"/>
          </w:tcPr>
          <w:p>
            <w:r>
              <w:rPr>
                <w:sz w:val="16"/>
              </w:rPr>
              <w:t>Treatment guidance</w:t>
            </w:r>
          </w:p>
        </w:tc>
        <w:tc>
          <w:tcPr>
            <w:tcW w:type="dxa" w:w="3504"/>
            <w:vAlign w:val="center"/>
          </w:tcPr>
          <w:p>
            <w:r>
              <w:rPr>
                <w:sz w:val="16"/>
              </w:rPr>
              <w:t>Separately safety-gated</w:t>
            </w:r>
          </w:p>
        </w:tc>
        <w:tc>
          <w:tcPr>
            <w:tcW w:type="dxa" w:w="3504"/>
            <w:vAlign w:val="center"/>
          </w:tcPr>
          <w:p>
            <w:r>
              <w:rPr>
                <w:sz w:val="16"/>
              </w:rPr>
              <w:t>Preserved</w:t>
            </w:r>
          </w:p>
        </w:tc>
      </w:tr>
      <w:tr>
        <w:tc>
          <w:tcPr>
            <w:tcW w:type="dxa" w:w="3504"/>
            <w:vAlign w:val="center"/>
          </w:tcPr>
          <w:p>
            <w:r>
              <w:rPr>
                <w:sz w:val="16"/>
              </w:rPr>
              <w:t>Chemical or pesticide guidance</w:t>
            </w:r>
          </w:p>
        </w:tc>
        <w:tc>
          <w:tcPr>
            <w:tcW w:type="dxa" w:w="3504"/>
            <w:vAlign w:val="center"/>
          </w:tcPr>
          <w:p>
            <w:r>
              <w:rPr>
                <w:sz w:val="16"/>
              </w:rPr>
              <w:t>Not authorised</w:t>
            </w:r>
          </w:p>
        </w:tc>
        <w:tc>
          <w:tcPr>
            <w:tcW w:type="dxa" w:w="3504"/>
            <w:vAlign w:val="center"/>
          </w:tcPr>
          <w:p>
            <w:r>
              <w:rPr>
                <w:sz w:val="16"/>
              </w:rPr>
              <w:t>Preserved</w:t>
            </w:r>
          </w:p>
        </w:tc>
      </w:tr>
      <w:tr>
        <w:tc>
          <w:tcPr>
            <w:tcW w:type="dxa" w:w="3504"/>
            <w:vAlign w:val="center"/>
          </w:tcPr>
          <w:p>
            <w:r>
              <w:rPr>
                <w:sz w:val="16"/>
              </w:rPr>
              <w:t>Privacy</w:t>
            </w:r>
          </w:p>
        </w:tc>
        <w:tc>
          <w:tcPr>
            <w:tcW w:type="dxa" w:w="3504"/>
            <w:vAlign w:val="center"/>
          </w:tcPr>
          <w:p>
            <w:r>
              <w:rPr>
                <w:sz w:val="16"/>
              </w:rPr>
              <w:t>Explicit progression gate</w:t>
            </w:r>
          </w:p>
        </w:tc>
        <w:tc>
          <w:tcPr>
            <w:tcW w:type="dxa" w:w="3504"/>
            <w:vAlign w:val="center"/>
          </w:tcPr>
          <w:p>
            <w:r>
              <w:rPr>
                <w:sz w:val="16"/>
              </w:rPr>
              <w:t>Preserved</w:t>
            </w:r>
          </w:p>
        </w:tc>
      </w:tr>
      <w:tr>
        <w:tc>
          <w:tcPr>
            <w:tcW w:type="dxa" w:w="3504"/>
            <w:vAlign w:val="center"/>
          </w:tcPr>
          <w:p>
            <w:r>
              <w:rPr>
                <w:sz w:val="16"/>
              </w:rPr>
              <w:t>Value and priority</w:t>
            </w:r>
          </w:p>
        </w:tc>
        <w:tc>
          <w:tcPr>
            <w:tcW w:type="dxa" w:w="3504"/>
            <w:vAlign w:val="center"/>
          </w:tcPr>
          <w:p>
            <w:r>
              <w:rPr>
                <w:sz w:val="16"/>
              </w:rPr>
              <w:t>GreenSphere decision gate</w:t>
            </w:r>
          </w:p>
        </w:tc>
        <w:tc>
          <w:tcPr>
            <w:tcW w:type="dxa" w:w="3504"/>
            <w:vAlign w:val="center"/>
          </w:tcPr>
          <w:p>
            <w:r>
              <w:rPr>
                <w:sz w:val="16"/>
              </w:rPr>
              <w:t>Preserved</w:t>
            </w:r>
          </w:p>
        </w:tc>
      </w:tr>
    </w:tbl>
    <w:p>
      <w:pPr>
        <w:pStyle w:val="Heading1"/>
      </w:pPr>
      <w:r>
        <w:t>5. Ten-Gate Progression Integrity</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5256"/>
            <w:shd w:fill="E8F0E8"/>
            <w:vAlign w:val="center"/>
          </w:tcPr>
          <w:p>
            <w:r>
              <w:rPr>
                <w:b/>
                <w:sz w:val="16"/>
              </w:rPr>
              <w:t>Progression gate</w:t>
            </w:r>
          </w:p>
        </w:tc>
        <w:tc>
          <w:tcPr>
            <w:tcW w:type="dxa" w:w="5256"/>
            <w:shd w:fill="E8F0E8"/>
            <w:vAlign w:val="center"/>
          </w:tcPr>
          <w:p>
            <w:r>
              <w:rPr>
                <w:b/>
                <w:sz w:val="16"/>
              </w:rPr>
              <w:t>Pass 4 result</w:t>
            </w:r>
          </w:p>
        </w:tc>
      </w:tr>
      <w:tr>
        <w:tc>
          <w:tcPr>
            <w:tcW w:type="dxa" w:w="5256"/>
            <w:vAlign w:val="center"/>
          </w:tcPr>
          <w:p>
            <w:r>
              <w:rPr>
                <w:sz w:val="16"/>
              </w:rPr>
              <w:t>Problem validation</w:t>
            </w:r>
          </w:p>
        </w:tc>
        <w:tc>
          <w:tcPr>
            <w:tcW w:type="dxa" w:w="5256"/>
            <w:vAlign w:val="center"/>
          </w:tcPr>
          <w:p>
            <w:r>
              <w:rPr>
                <w:sz w:val="16"/>
              </w:rPr>
              <w:t>Present</w:t>
            </w:r>
          </w:p>
        </w:tc>
      </w:tr>
      <w:tr>
        <w:tc>
          <w:tcPr>
            <w:tcW w:type="dxa" w:w="5256"/>
            <w:vAlign w:val="center"/>
          </w:tcPr>
          <w:p>
            <w:r>
              <w:rPr>
                <w:sz w:val="16"/>
              </w:rPr>
              <w:t>Identification boundary</w:t>
            </w:r>
          </w:p>
        </w:tc>
        <w:tc>
          <w:tcPr>
            <w:tcW w:type="dxa" w:w="5256"/>
            <w:vAlign w:val="center"/>
          </w:tcPr>
          <w:p>
            <w:r>
              <w:rPr>
                <w:sz w:val="16"/>
              </w:rPr>
              <w:t>Present</w:t>
            </w:r>
          </w:p>
        </w:tc>
      </w:tr>
      <w:tr>
        <w:tc>
          <w:tcPr>
            <w:tcW w:type="dxa" w:w="5256"/>
            <w:vAlign w:val="center"/>
          </w:tcPr>
          <w:p>
            <w:r>
              <w:rPr>
                <w:sz w:val="16"/>
              </w:rPr>
              <w:t>Evidence and accuracy</w:t>
            </w:r>
          </w:p>
        </w:tc>
        <w:tc>
          <w:tcPr>
            <w:tcW w:type="dxa" w:w="5256"/>
            <w:vAlign w:val="center"/>
          </w:tcPr>
          <w:p>
            <w:r>
              <w:rPr>
                <w:sz w:val="16"/>
              </w:rPr>
              <w:t>Present</w:t>
            </w:r>
          </w:p>
        </w:tc>
      </w:tr>
      <w:tr>
        <w:tc>
          <w:tcPr>
            <w:tcW w:type="dxa" w:w="5256"/>
            <w:vAlign w:val="center"/>
          </w:tcPr>
          <w:p>
            <w:r>
              <w:rPr>
                <w:sz w:val="16"/>
              </w:rPr>
              <w:t>Governance</w:t>
            </w:r>
          </w:p>
        </w:tc>
        <w:tc>
          <w:tcPr>
            <w:tcW w:type="dxa" w:w="5256"/>
            <w:vAlign w:val="center"/>
          </w:tcPr>
          <w:p>
            <w:r>
              <w:rPr>
                <w:sz w:val="16"/>
              </w:rPr>
              <w:t>Present</w:t>
            </w:r>
          </w:p>
        </w:tc>
      </w:tr>
      <w:tr>
        <w:tc>
          <w:tcPr>
            <w:tcW w:type="dxa" w:w="5256"/>
            <w:vAlign w:val="center"/>
          </w:tcPr>
          <w:p>
            <w:r>
              <w:rPr>
                <w:sz w:val="16"/>
              </w:rPr>
              <w:t>Safety boundary</w:t>
            </w:r>
          </w:p>
        </w:tc>
        <w:tc>
          <w:tcPr>
            <w:tcW w:type="dxa" w:w="5256"/>
            <w:vAlign w:val="center"/>
          </w:tcPr>
          <w:p>
            <w:r>
              <w:rPr>
                <w:sz w:val="16"/>
              </w:rPr>
              <w:t>Present</w:t>
            </w:r>
          </w:p>
        </w:tc>
      </w:tr>
      <w:tr>
        <w:tc>
          <w:tcPr>
            <w:tcW w:type="dxa" w:w="5256"/>
            <w:vAlign w:val="center"/>
          </w:tcPr>
          <w:p>
            <w:r>
              <w:rPr>
                <w:sz w:val="16"/>
              </w:rPr>
              <w:t>Specialist expertise</w:t>
            </w:r>
          </w:p>
        </w:tc>
        <w:tc>
          <w:tcPr>
            <w:tcW w:type="dxa" w:w="5256"/>
            <w:vAlign w:val="center"/>
          </w:tcPr>
          <w:p>
            <w:r>
              <w:rPr>
                <w:sz w:val="16"/>
              </w:rPr>
              <w:t>Present</w:t>
            </w:r>
          </w:p>
        </w:tc>
      </w:tr>
      <w:tr>
        <w:tc>
          <w:tcPr>
            <w:tcW w:type="dxa" w:w="5256"/>
            <w:vAlign w:val="center"/>
          </w:tcPr>
          <w:p>
            <w:r>
              <w:rPr>
                <w:sz w:val="16"/>
              </w:rPr>
              <w:t>Uncertainty and escalation</w:t>
            </w:r>
          </w:p>
        </w:tc>
        <w:tc>
          <w:tcPr>
            <w:tcW w:type="dxa" w:w="5256"/>
            <w:vAlign w:val="center"/>
          </w:tcPr>
          <w:p>
            <w:r>
              <w:rPr>
                <w:sz w:val="16"/>
              </w:rPr>
              <w:t>Present</w:t>
            </w:r>
          </w:p>
        </w:tc>
      </w:tr>
      <w:tr>
        <w:tc>
          <w:tcPr>
            <w:tcW w:type="dxa" w:w="5256"/>
            <w:vAlign w:val="center"/>
          </w:tcPr>
          <w:p>
            <w:r>
              <w:rPr>
                <w:sz w:val="16"/>
              </w:rPr>
              <w:t>Privacy</w:t>
            </w:r>
          </w:p>
        </w:tc>
        <w:tc>
          <w:tcPr>
            <w:tcW w:type="dxa" w:w="5256"/>
            <w:vAlign w:val="center"/>
          </w:tcPr>
          <w:p>
            <w:r>
              <w:rPr>
                <w:sz w:val="16"/>
              </w:rPr>
              <w:t>Present</w:t>
            </w:r>
          </w:p>
        </w:tc>
      </w:tr>
      <w:tr>
        <w:tc>
          <w:tcPr>
            <w:tcW w:type="dxa" w:w="5256"/>
            <w:vAlign w:val="center"/>
          </w:tcPr>
          <w:p>
            <w:r>
              <w:rPr>
                <w:sz w:val="16"/>
              </w:rPr>
              <w:t>Acceptance logic</w:t>
            </w:r>
          </w:p>
        </w:tc>
        <w:tc>
          <w:tcPr>
            <w:tcW w:type="dxa" w:w="5256"/>
            <w:vAlign w:val="center"/>
          </w:tcPr>
          <w:p>
            <w:r>
              <w:rPr>
                <w:sz w:val="16"/>
              </w:rPr>
              <w:t>Present</w:t>
            </w:r>
          </w:p>
        </w:tc>
      </w:tr>
      <w:tr>
        <w:tc>
          <w:tcPr>
            <w:tcW w:type="dxa" w:w="5256"/>
            <w:vAlign w:val="center"/>
          </w:tcPr>
          <w:p>
            <w:r>
              <w:rPr>
                <w:sz w:val="16"/>
              </w:rPr>
              <w:t>Value and priority</w:t>
            </w:r>
          </w:p>
        </w:tc>
        <w:tc>
          <w:tcPr>
            <w:tcW w:type="dxa" w:w="5256"/>
            <w:vAlign w:val="center"/>
          </w:tcPr>
          <w:p>
            <w:r>
              <w:rPr>
                <w:sz w:val="16"/>
              </w:rPr>
              <w:t>Present</w:t>
            </w:r>
          </w:p>
        </w:tc>
      </w:tr>
    </w:tbl>
    <w:p>
      <w:pPr>
        <w:pStyle w:val="Heading1"/>
      </w:pPr>
      <w:r>
        <w:t>6. Acceptance, NFR and Evidence Discipline</w:t>
      </w:r>
    </w:p>
    <w:p>
      <w:r>
        <w:t>I confirmed that formal acceptance criteria remain deferred. Pass 3 does not convert open governance questions into testable criteria. NFR content remains at theme level. The package makes no claim of build, testing, production use, acceptance, Story Points, Bugs or Sprint outcomes.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504"/>
            <w:shd w:fill="E8F0E8"/>
            <w:vAlign w:val="center"/>
          </w:tcPr>
          <w:p>
            <w:r>
              <w:rPr>
                <w:b/>
                <w:sz w:val="16"/>
              </w:rPr>
              <w:t>Area</w:t>
            </w:r>
          </w:p>
        </w:tc>
        <w:tc>
          <w:tcPr>
            <w:tcW w:type="dxa" w:w="3504"/>
            <w:shd w:fill="E8F0E8"/>
            <w:vAlign w:val="center"/>
          </w:tcPr>
          <w:p>
            <w:r>
              <w:rPr>
                <w:b/>
                <w:sz w:val="16"/>
              </w:rPr>
              <w:t>Required position</w:t>
            </w:r>
          </w:p>
        </w:tc>
        <w:tc>
          <w:tcPr>
            <w:tcW w:type="dxa" w:w="3504"/>
            <w:shd w:fill="E8F0E8"/>
            <w:vAlign w:val="center"/>
          </w:tcPr>
          <w:p>
            <w:r>
              <w:rPr>
                <w:b/>
                <w:sz w:val="16"/>
              </w:rPr>
              <w:t>Result</w:t>
            </w:r>
          </w:p>
        </w:tc>
      </w:tr>
      <w:tr>
        <w:tc>
          <w:tcPr>
            <w:tcW w:type="dxa" w:w="3504"/>
            <w:vAlign w:val="center"/>
          </w:tcPr>
          <w:p>
            <w:r>
              <w:rPr>
                <w:sz w:val="16"/>
              </w:rPr>
              <w:t>Acceptance criteria</w:t>
            </w:r>
          </w:p>
        </w:tc>
        <w:tc>
          <w:tcPr>
            <w:tcW w:type="dxa" w:w="3504"/>
            <w:vAlign w:val="center"/>
          </w:tcPr>
          <w:p>
            <w:r>
              <w:rPr>
                <w:sz w:val="16"/>
              </w:rPr>
              <w:t>Deferred until the ten-gate bar is closed</w:t>
            </w:r>
          </w:p>
        </w:tc>
        <w:tc>
          <w:tcPr>
            <w:tcW w:type="dxa" w:w="3504"/>
            <w:vAlign w:val="center"/>
          </w:tcPr>
          <w:p>
            <w:r>
              <w:rPr>
                <w:sz w:val="16"/>
              </w:rPr>
              <w:t>PASS</w:t>
            </w:r>
          </w:p>
        </w:tc>
      </w:tr>
      <w:tr>
        <w:tc>
          <w:tcPr>
            <w:tcW w:type="dxa" w:w="3504"/>
            <w:vAlign w:val="center"/>
          </w:tcPr>
          <w:p>
            <w:r>
              <w:rPr>
                <w:sz w:val="16"/>
              </w:rPr>
              <w:t>NFRs</w:t>
            </w:r>
          </w:p>
        </w:tc>
        <w:tc>
          <w:tcPr>
            <w:tcW w:type="dxa" w:w="3504"/>
            <w:vAlign w:val="center"/>
          </w:tcPr>
          <w:p>
            <w:r>
              <w:rPr>
                <w:sz w:val="16"/>
              </w:rPr>
              <w:t>Themes only, no invented IDs</w:t>
            </w:r>
          </w:p>
        </w:tc>
        <w:tc>
          <w:tcPr>
            <w:tcW w:type="dxa" w:w="3504"/>
            <w:vAlign w:val="center"/>
          </w:tcPr>
          <w:p>
            <w:r>
              <w:rPr>
                <w:sz w:val="16"/>
              </w:rPr>
              <w:t>PASS</w:t>
            </w:r>
          </w:p>
        </w:tc>
      </w:tr>
      <w:tr>
        <w:tc>
          <w:tcPr>
            <w:tcW w:type="dxa" w:w="3504"/>
            <w:vAlign w:val="center"/>
          </w:tcPr>
          <w:p>
            <w:r>
              <w:rPr>
                <w:sz w:val="16"/>
              </w:rPr>
              <w:t>Evidence</w:t>
            </w:r>
          </w:p>
        </w:tc>
        <w:tc>
          <w:tcPr>
            <w:tcW w:type="dxa" w:w="3504"/>
            <w:vAlign w:val="center"/>
          </w:tcPr>
          <w:p>
            <w:r>
              <w:rPr>
                <w:sz w:val="16"/>
              </w:rPr>
              <w:t>Discovery and requirements-engineering work only</w:t>
            </w:r>
          </w:p>
        </w:tc>
        <w:tc>
          <w:tcPr>
            <w:tcW w:type="dxa" w:w="3504"/>
            <w:vAlign w:val="center"/>
          </w:tcPr>
          <w:p>
            <w:r>
              <w:rPr>
                <w:sz w:val="16"/>
              </w:rPr>
              <w:t>PASS</w:t>
            </w:r>
          </w:p>
        </w:tc>
      </w:tr>
      <w:tr>
        <w:tc>
          <w:tcPr>
            <w:tcW w:type="dxa" w:w="3504"/>
            <w:vAlign w:val="center"/>
          </w:tcPr>
          <w:p>
            <w:r>
              <w:rPr>
                <w:sz w:val="16"/>
              </w:rPr>
              <w:t>Delivery claims</w:t>
            </w:r>
          </w:p>
        </w:tc>
        <w:tc>
          <w:tcPr>
            <w:tcW w:type="dxa" w:w="3504"/>
            <w:vAlign w:val="center"/>
          </w:tcPr>
          <w:p>
            <w:r>
              <w:rPr>
                <w:sz w:val="16"/>
              </w:rPr>
              <w:t>None</w:t>
            </w:r>
          </w:p>
        </w:tc>
        <w:tc>
          <w:tcPr>
            <w:tcW w:type="dxa" w:w="3504"/>
            <w:vAlign w:val="center"/>
          </w:tcPr>
          <w:p>
            <w:r>
              <w:rPr>
                <w:sz w:val="16"/>
              </w:rPr>
              <w:t>PASS</w:t>
            </w:r>
          </w:p>
        </w:tc>
      </w:tr>
      <w:tr>
        <w:tc>
          <w:tcPr>
            <w:tcW w:type="dxa" w:w="3504"/>
            <w:vAlign w:val="center"/>
          </w:tcPr>
          <w:p>
            <w:r>
              <w:rPr>
                <w:sz w:val="16"/>
              </w:rPr>
              <w:t>Story Points / Bugs</w:t>
            </w:r>
          </w:p>
        </w:tc>
        <w:tc>
          <w:tcPr>
            <w:tcW w:type="dxa" w:w="3504"/>
            <w:vAlign w:val="center"/>
          </w:tcPr>
          <w:p>
            <w:r>
              <w:rPr>
                <w:sz w:val="16"/>
              </w:rPr>
              <w:t>Not created</w:t>
            </w:r>
          </w:p>
        </w:tc>
        <w:tc>
          <w:tcPr>
            <w:tcW w:type="dxa" w:w="3504"/>
            <w:vAlign w:val="center"/>
          </w:tcPr>
          <w:p>
            <w:r>
              <w:rPr>
                <w:sz w:val="16"/>
              </w:rPr>
              <w:t>PASS</w:t>
            </w:r>
          </w:p>
        </w:tc>
      </w:tr>
    </w:tbl>
    <w:p>
      <w:pPr>
        <w:pStyle w:val="Heading1"/>
      </w:pPr>
      <w:r>
        <w:t>7. Cross-Epic Boundary Check</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504"/>
            <w:shd w:fill="E8F0E8"/>
            <w:vAlign w:val="center"/>
          </w:tcPr>
          <w:p>
            <w:r>
              <w:rPr>
                <w:b/>
                <w:sz w:val="16"/>
              </w:rPr>
              <w:t>Epic</w:t>
            </w:r>
          </w:p>
        </w:tc>
        <w:tc>
          <w:tcPr>
            <w:tcW w:type="dxa" w:w="3504"/>
            <w:shd w:fill="E8F0E8"/>
            <w:vAlign w:val="center"/>
          </w:tcPr>
          <w:p>
            <w:r>
              <w:rPr>
                <w:b/>
                <w:sz w:val="16"/>
              </w:rPr>
              <w:t>Established boundary</w:t>
            </w:r>
          </w:p>
        </w:tc>
        <w:tc>
          <w:tcPr>
            <w:tcW w:type="dxa" w:w="3504"/>
            <w:shd w:fill="E8F0E8"/>
            <w:vAlign w:val="center"/>
          </w:tcPr>
          <w:p>
            <w:r>
              <w:rPr>
                <w:b/>
                <w:sz w:val="16"/>
              </w:rPr>
              <w:t>QA result</w:t>
            </w:r>
          </w:p>
        </w:tc>
      </w:tr>
      <w:tr>
        <w:tc>
          <w:tcPr>
            <w:tcW w:type="dxa" w:w="3504"/>
            <w:vAlign w:val="center"/>
          </w:tcPr>
          <w:p>
            <w:r>
              <w:rPr>
                <w:sz w:val="16"/>
              </w:rPr>
              <w:t>F01 Smart Plant Care</w:t>
            </w:r>
          </w:p>
        </w:tc>
        <w:tc>
          <w:tcPr>
            <w:tcW w:type="dxa" w:w="3504"/>
            <w:vAlign w:val="center"/>
          </w:tcPr>
          <w:p>
            <w:r>
              <w:rPr>
                <w:sz w:val="16"/>
              </w:rPr>
              <w:t>Plant-specific care and watering</w:t>
            </w:r>
          </w:p>
        </w:tc>
        <w:tc>
          <w:tcPr>
            <w:tcW w:type="dxa" w:w="3504"/>
            <w:vAlign w:val="center"/>
          </w:tcPr>
          <w:p>
            <w:r>
              <w:rPr>
                <w:sz w:val="16"/>
              </w:rPr>
              <w:t>Excluded from F03</w:t>
            </w:r>
          </w:p>
        </w:tc>
      </w:tr>
      <w:tr>
        <w:tc>
          <w:tcPr>
            <w:tcW w:type="dxa" w:w="3504"/>
            <w:vAlign w:val="center"/>
          </w:tcPr>
          <w:p>
            <w:r>
              <w:rPr>
                <w:sz w:val="16"/>
              </w:rPr>
              <w:t>F02 Weather-Aware Gardening</w:t>
            </w:r>
          </w:p>
        </w:tc>
        <w:tc>
          <w:tcPr>
            <w:tcW w:type="dxa" w:w="3504"/>
            <w:vAlign w:val="center"/>
          </w:tcPr>
          <w:p>
            <w:r>
              <w:rPr>
                <w:sz w:val="16"/>
              </w:rPr>
              <w:t>Weather context</w:t>
            </w:r>
          </w:p>
        </w:tc>
        <w:tc>
          <w:tcPr>
            <w:tcW w:type="dxa" w:w="3504"/>
            <w:vAlign w:val="center"/>
          </w:tcPr>
          <w:p>
            <w:r>
              <w:rPr>
                <w:sz w:val="16"/>
              </w:rPr>
              <w:t>Excluded from F03</w:t>
            </w:r>
          </w:p>
        </w:tc>
      </w:tr>
      <w:tr>
        <w:tc>
          <w:tcPr>
            <w:tcW w:type="dxa" w:w="3504"/>
            <w:vAlign w:val="center"/>
          </w:tcPr>
          <w:p>
            <w:r>
              <w:rPr>
                <w:sz w:val="16"/>
              </w:rPr>
              <w:t>F03 Plant Health and Protection</w:t>
            </w:r>
          </w:p>
        </w:tc>
        <w:tc>
          <w:tcPr>
            <w:tcW w:type="dxa" w:w="3504"/>
            <w:vAlign w:val="center"/>
          </w:tcPr>
          <w:p>
            <w:r>
              <w:rPr>
                <w:sz w:val="16"/>
              </w:rPr>
              <w:t>Plant-health identification and governed protection</w:t>
            </w:r>
          </w:p>
        </w:tc>
        <w:tc>
          <w:tcPr>
            <w:tcW w:type="dxa" w:w="3504"/>
            <w:vAlign w:val="center"/>
          </w:tcPr>
          <w:p>
            <w:r>
              <w:rPr>
                <w:sz w:val="16"/>
              </w:rPr>
              <w:t>Own boundary retained</w:t>
            </w:r>
          </w:p>
        </w:tc>
      </w:tr>
      <w:tr>
        <w:tc>
          <w:tcPr>
            <w:tcW w:type="dxa" w:w="3504"/>
            <w:vAlign w:val="center"/>
          </w:tcPr>
          <w:p>
            <w:r>
              <w:rPr>
                <w:sz w:val="16"/>
              </w:rPr>
              <w:t>F05 Personalised Garden Experience</w:t>
            </w:r>
          </w:p>
        </w:tc>
        <w:tc>
          <w:tcPr>
            <w:tcW w:type="dxa" w:w="3504"/>
            <w:vAlign w:val="center"/>
          </w:tcPr>
          <w:p>
            <w:r>
              <w:rPr>
                <w:sz w:val="16"/>
              </w:rPr>
              <w:t>Profiles and personalisation</w:t>
            </w:r>
          </w:p>
        </w:tc>
        <w:tc>
          <w:tcPr>
            <w:tcW w:type="dxa" w:w="3504"/>
            <w:vAlign w:val="center"/>
          </w:tcPr>
          <w:p>
            <w:r>
              <w:rPr>
                <w:sz w:val="16"/>
              </w:rPr>
              <w:t>Excluded from F03</w:t>
            </w:r>
          </w:p>
        </w:tc>
      </w:tr>
    </w:tbl>
    <w:p>
      <w:pPr>
        <w:pStyle w:val="Heading1"/>
      </w:pPr>
      <w:r>
        <w:t>8. Pass 4 Decision</w:t>
      </w:r>
    </w:p>
    <w:p>
      <w:r>
        <w:rPr>
          <w:b/>
        </w:rPr>
        <w:t xml:space="preserve">PASS. </w:t>
      </w:r>
      <w:r>
        <w:t>The constrained F03 Pass 3 translation is internally consistent, traceable to Pass 2, and aligned with the stricter safety and governance model. No correction is required. Pass 4 is now closed.</w:t>
      </w:r>
    </w:p>
    <w:p>
      <w:r>
        <w:rPr>
          <w:b/>
        </w:rPr>
        <w:t xml:space="preserve">Next controlled step: </w:t>
      </w:r>
      <w:r>
        <w:t>Pass 5 portfolio packaging, with the same evidence boundary and no claim of real-world approval or delivery.</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EcoGrow Future-State Discovery | EPIC-F03 | Pass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