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EcoGrow Future-State Discovery</w:t>
      </w:r>
    </w:p>
    <w:p>
      <w:pPr>
        <w:jc w:val="center"/>
      </w:pPr>
      <w:r>
        <w:rPr>
          <w:b/>
          <w:sz w:val="28"/>
        </w:rPr>
        <w:t>EPIC-F03 Plant Health and Protection | Deep Discovery | Pass 2</w:t>
      </w:r>
    </w:p>
    <w:p>
      <w:pPr>
        <w:jc w:val="center"/>
      </w:pPr>
      <w:r>
        <w:rPr>
          <w:i/>
        </w:rPr>
        <w:t>Prepared by Doris Frank, Business Analyst</w:t>
      </w:r>
    </w:p>
    <w:p>
      <w:pPr>
        <w:jc w:val="center"/>
      </w:pPr>
      <w:r>
        <w:rPr>
          <w:sz w:val="17"/>
        </w:rPr>
        <w:t>Status: Future-state discovery only. This pass does not amend the locked MVP, create Jira commitments, or represent built functionality.</w:t>
      </w:r>
    </w:p>
    <w:p>
      <w:pPr>
        <w:pStyle w:val="Heading1"/>
      </w:pPr>
      <w:r>
        <w:t>1. Discovery Control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shd w:fill="E8F2E8"/>
          </w:tcPr>
          <w:p>
            <w:r/>
            <w:r>
              <w:rPr>
                <w:b/>
                <w:sz w:val="17"/>
              </w:rPr>
              <w:t>Dimension</w:t>
            </w:r>
          </w:p>
        </w:tc>
        <w:tc>
          <w:tcPr>
            <w:tcW w:type="dxa" w:w="5184"/>
            <w:vAlign w:val="center"/>
            <w:shd w:fill="E8F2E8"/>
          </w:tcPr>
          <w:p>
            <w:r/>
            <w:r>
              <w:rPr>
                <w:b/>
                <w:sz w:val="17"/>
              </w:rPr>
              <w:t>Current position</w:t>
            </w:r>
          </w:p>
        </w:tc>
      </w:tr>
      <w:tr>
        <w:tc>
          <w:tcPr>
            <w:tcW w:type="dxa" w:w="5184"/>
            <w:vAlign w:val="center"/>
          </w:tcPr>
          <w:p>
            <w:r/>
            <w:r>
              <w:rPr>
                <w:b w:val="0"/>
                <w:sz w:val="17"/>
              </w:rPr>
              <w:t>Future epic</w:t>
            </w:r>
          </w:p>
        </w:tc>
        <w:tc>
          <w:tcPr>
            <w:tcW w:type="dxa" w:w="5184"/>
            <w:vAlign w:val="center"/>
          </w:tcPr>
          <w:p>
            <w:r/>
            <w:r>
              <w:rPr>
                <w:b w:val="0"/>
                <w:sz w:val="17"/>
              </w:rPr>
              <w:t>EPIC-F03 Plant Health and Protection</w:t>
            </w:r>
          </w:p>
        </w:tc>
      </w:tr>
      <w:tr>
        <w:tc>
          <w:tcPr>
            <w:tcW w:type="dxa" w:w="5184"/>
            <w:vAlign w:val="center"/>
          </w:tcPr>
          <w:p>
            <w:r/>
            <w:r>
              <w:rPr>
                <w:b w:val="0"/>
                <w:sz w:val="17"/>
              </w:rPr>
              <w:t>Purpose</w:t>
            </w:r>
          </w:p>
        </w:tc>
        <w:tc>
          <w:tcPr>
            <w:tcW w:type="dxa" w:w="5184"/>
            <w:vAlign w:val="center"/>
          </w:tcPr>
          <w:p>
            <w:r/>
            <w:r>
              <w:rPr>
                <w:b w:val="0"/>
                <w:sz w:val="17"/>
              </w:rPr>
              <w:t>Explore whether EcoGrow could help gardeners identify plant-health issues and receive governed protection guidance.</w:t>
            </w:r>
          </w:p>
        </w:tc>
      </w:tr>
      <w:tr>
        <w:tc>
          <w:tcPr>
            <w:tcW w:type="dxa" w:w="5184"/>
            <w:vAlign w:val="center"/>
          </w:tcPr>
          <w:p>
            <w:r/>
            <w:r>
              <w:rPr>
                <w:b w:val="0"/>
                <w:sz w:val="17"/>
              </w:rPr>
              <w:t>Discovery status</w:t>
            </w:r>
          </w:p>
        </w:tc>
        <w:tc>
          <w:tcPr>
            <w:tcW w:type="dxa" w:w="5184"/>
            <w:vAlign w:val="center"/>
          </w:tcPr>
          <w:p>
            <w:r/>
            <w:r>
              <w:rPr>
                <w:b w:val="0"/>
                <w:sz w:val="17"/>
              </w:rPr>
              <w:t>Candidate future capability. No Jira stories or future requirement IDs yet.</w:t>
            </w:r>
          </w:p>
        </w:tc>
      </w:tr>
      <w:tr>
        <w:tc>
          <w:tcPr>
            <w:tcW w:type="dxa" w:w="5184"/>
            <w:vAlign w:val="center"/>
          </w:tcPr>
          <w:p>
            <w:r/>
            <w:r>
              <w:rPr>
                <w:b w:val="0"/>
                <w:sz w:val="17"/>
              </w:rPr>
              <w:t>Primary boundary</w:t>
            </w:r>
          </w:p>
        </w:tc>
        <w:tc>
          <w:tcPr>
            <w:tcW w:type="dxa" w:w="5184"/>
            <w:vAlign w:val="center"/>
          </w:tcPr>
          <w:p>
            <w:r/>
            <w:r>
              <w:rPr>
                <w:b w:val="0"/>
                <w:sz w:val="17"/>
              </w:rPr>
              <w:t>Plant-health identification and protection are outside the current MVP and outside EPIC-F01 and EPIC-F02 delivery scope.</w:t>
            </w:r>
          </w:p>
        </w:tc>
      </w:tr>
      <w:tr>
        <w:tc>
          <w:tcPr>
            <w:tcW w:type="dxa" w:w="5184"/>
            <w:vAlign w:val="center"/>
          </w:tcPr>
          <w:p>
            <w:r/>
            <w:r>
              <w:rPr>
                <w:b w:val="0"/>
                <w:sz w:val="17"/>
              </w:rPr>
              <w:t>Primary governance question</w:t>
            </w:r>
          </w:p>
        </w:tc>
        <w:tc>
          <w:tcPr>
            <w:tcW w:type="dxa" w:w="5184"/>
            <w:vAlign w:val="center"/>
          </w:tcPr>
          <w:p>
            <w:r/>
            <w:r>
              <w:rPr>
                <w:b w:val="0"/>
                <w:sz w:val="17"/>
              </w:rPr>
              <w:t>What plant-health guidance can EcoGrow responsibly provide, who validates it, and what evidence is required before advice is shown?</w:t>
            </w:r>
          </w:p>
        </w:tc>
      </w:tr>
    </w:tbl>
    <w:p>
      <w:pPr>
        <w:spacing w:after="40"/>
      </w:pPr>
    </w:p>
    <w:p>
      <w:pPr>
        <w:pStyle w:val="Heading1"/>
      </w:pPr>
      <w:r>
        <w:t>2. Opportunity and User Need</w:t>
      </w:r>
    </w:p>
    <w:p>
      <w:r>
        <w:rPr>
          <w:b/>
        </w:rPr>
        <w:t xml:space="preserve">Opportunity. </w:t>
      </w:r>
      <w:r>
        <w:t>Future-state discovery explores whether EcoGrow can move beyond general care information toward helping gardeners interpret visible plant-health symptoms.</w:t>
      </w:r>
    </w:p>
    <w:p>
      <w:r>
        <w:rPr>
          <w:b/>
        </w:rPr>
        <w:t xml:space="preserve">User need hypothesis. </w:t>
      </w:r>
      <w:r>
        <w:t>A gardener may need help distinguishing possible pest, disease, nutrient, environmental, or unknown causes of a plant-health problem before deciding what to do next.</w:t>
      </w:r>
    </w:p>
    <w:p>
      <w:r>
        <w:rPr>
          <w:b/>
        </w:rPr>
        <w:t xml:space="preserve">Business value hypothesis. </w:t>
      </w:r>
      <w:r>
        <w:t>More useful plant-health support could increase product usefulness, trust, engagement and retention. These remain hypotheses until validated.</w:t>
      </w:r>
    </w:p>
    <w:p>
      <w:pPr>
        <w:pStyle w:val="Heading1"/>
      </w:pPr>
      <w:r>
        <w:t>3. F03 Capability Boundary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E8F2E8"/>
          </w:tcPr>
          <w:p>
            <w:r/>
            <w:r>
              <w:rPr>
                <w:b/>
                <w:sz w:val="17"/>
              </w:rPr>
              <w:t>Feature candidate</w:t>
            </w:r>
          </w:p>
        </w:tc>
        <w:tc>
          <w:tcPr>
            <w:tcW w:type="dxa" w:w="3456"/>
            <w:vAlign w:val="center"/>
            <w:shd w:fill="E8F2E8"/>
          </w:tcPr>
          <w:p>
            <w:r/>
            <w:r>
              <w:rPr>
                <w:b/>
                <w:sz w:val="17"/>
              </w:rPr>
              <w:t>Discovery position</w:t>
            </w:r>
          </w:p>
        </w:tc>
        <w:tc>
          <w:tcPr>
            <w:tcW w:type="dxa" w:w="3456"/>
            <w:vAlign w:val="center"/>
            <w:shd w:fill="E8F2E8"/>
          </w:tcPr>
          <w:p>
            <w:r/>
            <w:r>
              <w:rPr>
                <w:b/>
                <w:sz w:val="17"/>
              </w:rPr>
              <w:t>Boundary</w:t>
            </w:r>
          </w:p>
        </w:tc>
      </w:tr>
      <w:tr>
        <w:tc>
          <w:tcPr>
            <w:tcW w:type="dxa" w:w="3456"/>
            <w:vAlign w:val="center"/>
          </w:tcPr>
          <w:p>
            <w:r/>
            <w:r>
              <w:rPr>
                <w:b w:val="0"/>
                <w:sz w:val="17"/>
              </w:rPr>
              <w:t>F03.1 Plant-Health Symptom Capture</w:t>
            </w:r>
          </w:p>
        </w:tc>
        <w:tc>
          <w:tcPr>
            <w:tcW w:type="dxa" w:w="3456"/>
            <w:vAlign w:val="center"/>
          </w:tcPr>
          <w:p>
            <w:r/>
            <w:r>
              <w:rPr>
                <w:b w:val="0"/>
                <w:sz w:val="17"/>
              </w:rPr>
              <w:t>Candidate</w:t>
            </w:r>
          </w:p>
        </w:tc>
        <w:tc>
          <w:tcPr>
            <w:tcW w:type="dxa" w:w="3456"/>
            <w:vAlign w:val="center"/>
          </w:tcPr>
          <w:p>
            <w:r/>
            <w:r>
              <w:rPr>
                <w:b w:val="0"/>
                <w:sz w:val="17"/>
              </w:rPr>
              <w:t>Explore how gardeners describe or submit visible symptoms. Do not assume a specific input method yet.</w:t>
            </w:r>
          </w:p>
        </w:tc>
      </w:tr>
      <w:tr>
        <w:tc>
          <w:tcPr>
            <w:tcW w:type="dxa" w:w="3456"/>
            <w:vAlign w:val="center"/>
          </w:tcPr>
          <w:p>
            <w:r/>
            <w:r>
              <w:rPr>
                <w:b w:val="0"/>
                <w:sz w:val="17"/>
              </w:rPr>
              <w:t>F03.2 Plant-Health Classification</w:t>
            </w:r>
          </w:p>
        </w:tc>
        <w:tc>
          <w:tcPr>
            <w:tcW w:type="dxa" w:w="3456"/>
            <w:vAlign w:val="center"/>
          </w:tcPr>
          <w:p>
            <w:r/>
            <w:r>
              <w:rPr>
                <w:b w:val="0"/>
                <w:sz w:val="17"/>
              </w:rPr>
              <w:t>Candidate</w:t>
            </w:r>
          </w:p>
        </w:tc>
        <w:tc>
          <w:tcPr>
            <w:tcW w:type="dxa" w:w="3456"/>
            <w:vAlign w:val="center"/>
          </w:tcPr>
          <w:p>
            <w:r/>
            <w:r>
              <w:rPr>
                <w:b w:val="0"/>
                <w:sz w:val="17"/>
              </w:rPr>
              <w:t>Explore whether EcoGrow can classify likely pest, disease, nutrient deficiency, environmental stress, or unknown causes.</w:t>
            </w:r>
          </w:p>
        </w:tc>
      </w:tr>
      <w:tr>
        <w:tc>
          <w:tcPr>
            <w:tcW w:type="dxa" w:w="3456"/>
            <w:vAlign w:val="center"/>
          </w:tcPr>
          <w:p>
            <w:r/>
            <w:r>
              <w:rPr>
                <w:b w:val="0"/>
                <w:sz w:val="17"/>
              </w:rPr>
              <w:t>F03.3 Protection Guidance</w:t>
            </w:r>
          </w:p>
        </w:tc>
        <w:tc>
          <w:tcPr>
            <w:tcW w:type="dxa" w:w="3456"/>
            <w:vAlign w:val="center"/>
          </w:tcPr>
          <w:p>
            <w:r/>
            <w:r>
              <w:rPr>
                <w:b w:val="0"/>
                <w:sz w:val="17"/>
              </w:rPr>
              <w:t>Candidate, elevated governance</w:t>
            </w:r>
          </w:p>
        </w:tc>
        <w:tc>
          <w:tcPr>
            <w:tcW w:type="dxa" w:w="3456"/>
            <w:vAlign w:val="center"/>
          </w:tcPr>
          <w:p>
            <w:r/>
            <w:r>
              <w:rPr>
                <w:b w:val="0"/>
                <w:sz w:val="17"/>
              </w:rPr>
              <w:t>Explore evidence-based protection actions after classification and content authority are established.</w:t>
            </w:r>
          </w:p>
        </w:tc>
      </w:tr>
      <w:tr>
        <w:tc>
          <w:tcPr>
            <w:tcW w:type="dxa" w:w="3456"/>
            <w:vAlign w:val="center"/>
          </w:tcPr>
          <w:p>
            <w:r/>
            <w:r>
              <w:rPr>
                <w:b w:val="0"/>
                <w:sz w:val="17"/>
              </w:rPr>
              <w:t>F03.4 Treatment Guidance</w:t>
            </w:r>
          </w:p>
        </w:tc>
        <w:tc>
          <w:tcPr>
            <w:tcW w:type="dxa" w:w="3456"/>
            <w:vAlign w:val="center"/>
          </w:tcPr>
          <w:p>
            <w:r/>
            <w:r>
              <w:rPr>
                <w:b w:val="0"/>
                <w:sz w:val="17"/>
              </w:rPr>
              <w:t>Candidate, gated</w:t>
            </w:r>
          </w:p>
        </w:tc>
        <w:tc>
          <w:tcPr>
            <w:tcW w:type="dxa" w:w="3456"/>
            <w:vAlign w:val="center"/>
          </w:tcPr>
          <w:p>
            <w:r/>
            <w:r>
              <w:rPr>
                <w:b w:val="0"/>
                <w:sz w:val="17"/>
              </w:rPr>
              <w:t>Explore treatment guidance only if content authority, evidence, safety controls and scope are sufficient.</w:t>
            </w:r>
          </w:p>
        </w:tc>
      </w:tr>
    </w:tbl>
    <w:p>
      <w:pPr>
        <w:spacing w:after="40"/>
      </w:pPr>
    </w:p>
    <w:p>
      <w:r>
        <w:rPr>
          <w:b/>
        </w:rPr>
        <w:t xml:space="preserve">Explicit exclusions. </w:t>
      </w:r>
      <w:r>
        <w:t>EPIC-F01 plant-specific care and watering remains separate. EPIC-F02 weather-aware context remains separate. Personalised garden profiles remain EPIC-F05. Chemical or pesticide recommendations are not assumed and require stronger governance if ever considered.</w:t>
      </w:r>
    </w:p>
    <w:p>
      <w:pPr>
        <w:pStyle w:val="Heading1"/>
      </w:pPr>
      <w:r>
        <w:t>4. Discovery Hypotheses and Open Questions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E8F2E8"/>
          </w:tcPr>
          <w:p>
            <w:r/>
            <w:r>
              <w:rPr>
                <w:b/>
                <w:sz w:val="17"/>
              </w:rPr>
              <w:t>Area</w:t>
            </w:r>
          </w:p>
        </w:tc>
        <w:tc>
          <w:tcPr>
            <w:tcW w:type="dxa" w:w="3456"/>
            <w:vAlign w:val="center"/>
            <w:shd w:fill="E8F2E8"/>
          </w:tcPr>
          <w:p>
            <w:r/>
            <w:r>
              <w:rPr>
                <w:b/>
                <w:sz w:val="17"/>
              </w:rPr>
              <w:t>Question to resolve</w:t>
            </w:r>
          </w:p>
        </w:tc>
        <w:tc>
          <w:tcPr>
            <w:tcW w:type="dxa" w:w="3456"/>
            <w:vAlign w:val="center"/>
            <w:shd w:fill="E8F2E8"/>
          </w:tcPr>
          <w:p>
            <w:r/>
            <w:r>
              <w:rPr>
                <w:b/>
                <w:sz w:val="17"/>
              </w:rPr>
              <w:t>Status</w:t>
            </w:r>
          </w:p>
        </w:tc>
      </w:tr>
      <w:tr>
        <w:tc>
          <w:tcPr>
            <w:tcW w:type="dxa" w:w="3456"/>
            <w:vAlign w:val="center"/>
          </w:tcPr>
          <w:p>
            <w:r/>
            <w:r>
              <w:rPr>
                <w:b w:val="0"/>
                <w:sz w:val="17"/>
              </w:rPr>
              <w:t>Symptom input</w:t>
            </w:r>
          </w:p>
        </w:tc>
        <w:tc>
          <w:tcPr>
            <w:tcW w:type="dxa" w:w="3456"/>
            <w:vAlign w:val="center"/>
          </w:tcPr>
          <w:p>
            <w:r/>
            <w:r>
              <w:rPr>
                <w:b w:val="0"/>
                <w:sz w:val="17"/>
              </w:rPr>
              <w:t>What input method is credible for gardeners: structured symptoms, text, images, or another approach?</w:t>
            </w:r>
          </w:p>
        </w:tc>
        <w:tc>
          <w:tcPr>
            <w:tcW w:type="dxa" w:w="3456"/>
            <w:vAlign w:val="center"/>
          </w:tcPr>
          <w:p>
            <w:r/>
            <w:r>
              <w:rPr>
                <w:b w:val="0"/>
                <w:sz w:val="17"/>
              </w:rPr>
              <w:t>Open question</w:t>
            </w:r>
          </w:p>
        </w:tc>
      </w:tr>
      <w:tr>
        <w:tc>
          <w:tcPr>
            <w:tcW w:type="dxa" w:w="3456"/>
            <w:vAlign w:val="center"/>
          </w:tcPr>
          <w:p>
            <w:r/>
            <w:r>
              <w:rPr>
                <w:b w:val="0"/>
                <w:sz w:val="17"/>
              </w:rPr>
              <w:t>Classification</w:t>
            </w:r>
          </w:p>
        </w:tc>
        <w:tc>
          <w:tcPr>
            <w:tcW w:type="dxa" w:w="3456"/>
            <w:vAlign w:val="center"/>
          </w:tcPr>
          <w:p>
            <w:r/>
            <w:r>
              <w:rPr>
                <w:b w:val="0"/>
                <w:sz w:val="17"/>
              </w:rPr>
              <w:t>Can EcoGrow reliably distinguish pest, disease, nutrient deficiency, environmental stress and unknown cases?</w:t>
            </w:r>
          </w:p>
        </w:tc>
        <w:tc>
          <w:tcPr>
            <w:tcW w:type="dxa" w:w="3456"/>
            <w:vAlign w:val="center"/>
          </w:tcPr>
          <w:p>
            <w:r/>
            <w:r>
              <w:rPr>
                <w:b w:val="0"/>
                <w:sz w:val="17"/>
              </w:rPr>
              <w:t>Open question</w:t>
            </w:r>
          </w:p>
        </w:tc>
      </w:tr>
      <w:tr>
        <w:tc>
          <w:tcPr>
            <w:tcW w:type="dxa" w:w="3456"/>
            <w:vAlign w:val="center"/>
          </w:tcPr>
          <w:p>
            <w:r/>
            <w:r>
              <w:rPr>
                <w:b w:val="0"/>
                <w:sz w:val="17"/>
              </w:rPr>
              <w:t>Evidence</w:t>
            </w:r>
          </w:p>
        </w:tc>
        <w:tc>
          <w:tcPr>
            <w:tcW w:type="dxa" w:w="3456"/>
            <w:vAlign w:val="center"/>
          </w:tcPr>
          <w:p>
            <w:r/>
            <w:r>
              <w:rPr>
                <w:b w:val="0"/>
                <w:sz w:val="17"/>
              </w:rPr>
              <w:t>What evidence standard is required before a plant-health classification is shown to a gardener?</w:t>
            </w:r>
          </w:p>
        </w:tc>
        <w:tc>
          <w:tcPr>
            <w:tcW w:type="dxa" w:w="3456"/>
            <w:vAlign w:val="center"/>
          </w:tcPr>
          <w:p>
            <w:r/>
            <w:r>
              <w:rPr>
                <w:b w:val="0"/>
                <w:sz w:val="17"/>
              </w:rPr>
              <w:t>Open question</w:t>
            </w:r>
          </w:p>
        </w:tc>
      </w:tr>
      <w:tr>
        <w:tc>
          <w:tcPr>
            <w:tcW w:type="dxa" w:w="3456"/>
            <w:vAlign w:val="center"/>
          </w:tcPr>
          <w:p>
            <w:r/>
            <w:r>
              <w:rPr>
                <w:b w:val="0"/>
                <w:sz w:val="17"/>
              </w:rPr>
              <w:t>Content authority</w:t>
            </w:r>
          </w:p>
        </w:tc>
        <w:tc>
          <w:tcPr>
            <w:tcW w:type="dxa" w:w="3456"/>
            <w:vAlign w:val="center"/>
          </w:tcPr>
          <w:p>
            <w:r/>
            <w:r>
              <w:rPr>
                <w:b w:val="0"/>
                <w:sz w:val="17"/>
              </w:rPr>
              <w:t>Who owns and approves plant-health content?</w:t>
            </w:r>
          </w:p>
        </w:tc>
        <w:tc>
          <w:tcPr>
            <w:tcW w:type="dxa" w:w="3456"/>
            <w:vAlign w:val="center"/>
          </w:tcPr>
          <w:p>
            <w:r/>
            <w:r>
              <w:rPr>
                <w:b w:val="0"/>
                <w:sz w:val="17"/>
              </w:rPr>
              <w:t>Open question</w:t>
            </w:r>
          </w:p>
        </w:tc>
      </w:tr>
      <w:tr>
        <w:tc>
          <w:tcPr>
            <w:tcW w:type="dxa" w:w="3456"/>
            <w:vAlign w:val="center"/>
          </w:tcPr>
          <w:p>
            <w:r/>
            <w:r>
              <w:rPr>
                <w:b w:val="0"/>
                <w:sz w:val="17"/>
              </w:rPr>
              <w:t>Specialist expertise</w:t>
            </w:r>
          </w:p>
        </w:tc>
        <w:tc>
          <w:tcPr>
            <w:tcW w:type="dxa" w:w="3456"/>
            <w:vAlign w:val="center"/>
          </w:tcPr>
          <w:p>
            <w:r/>
            <w:r>
              <w:rPr>
                <w:b w:val="0"/>
                <w:sz w:val="17"/>
              </w:rPr>
              <w:t>When is horticulture expertise sufficient and when is specialist plant protection expertise required?</w:t>
            </w:r>
          </w:p>
        </w:tc>
        <w:tc>
          <w:tcPr>
            <w:tcW w:type="dxa" w:w="3456"/>
            <w:vAlign w:val="center"/>
          </w:tcPr>
          <w:p>
            <w:r/>
            <w:r>
              <w:rPr>
                <w:b w:val="0"/>
                <w:sz w:val="17"/>
              </w:rPr>
              <w:t>Open question</w:t>
            </w:r>
          </w:p>
        </w:tc>
      </w:tr>
      <w:tr>
        <w:tc>
          <w:tcPr>
            <w:tcW w:type="dxa" w:w="3456"/>
            <w:vAlign w:val="center"/>
          </w:tcPr>
          <w:p>
            <w:r/>
            <w:r>
              <w:rPr>
                <w:b w:val="0"/>
                <w:sz w:val="17"/>
              </w:rPr>
              <w:t>Treatment boundary</w:t>
            </w:r>
          </w:p>
        </w:tc>
        <w:tc>
          <w:tcPr>
            <w:tcW w:type="dxa" w:w="3456"/>
            <w:vAlign w:val="center"/>
          </w:tcPr>
          <w:p>
            <w:r/>
            <w:r>
              <w:rPr>
                <w:b w:val="0"/>
                <w:sz w:val="17"/>
              </w:rPr>
              <w:t>What actions can be recommended safely, and what must remain outside scope?</w:t>
            </w:r>
          </w:p>
        </w:tc>
        <w:tc>
          <w:tcPr>
            <w:tcW w:type="dxa" w:w="3456"/>
            <w:vAlign w:val="center"/>
          </w:tcPr>
          <w:p>
            <w:r/>
            <w:r>
              <w:rPr>
                <w:b w:val="0"/>
                <w:sz w:val="17"/>
              </w:rPr>
              <w:t>Open question</w:t>
            </w:r>
          </w:p>
        </w:tc>
      </w:tr>
      <w:tr>
        <w:tc>
          <w:tcPr>
            <w:tcW w:type="dxa" w:w="3456"/>
            <w:vAlign w:val="center"/>
          </w:tcPr>
          <w:p>
            <w:r/>
            <w:r>
              <w:rPr>
                <w:b w:val="0"/>
                <w:sz w:val="17"/>
              </w:rPr>
              <w:t>Chemical guidance</w:t>
            </w:r>
          </w:p>
        </w:tc>
        <w:tc>
          <w:tcPr>
            <w:tcW w:type="dxa" w:w="3456"/>
            <w:vAlign w:val="center"/>
          </w:tcPr>
          <w:p>
            <w:r/>
            <w:r>
              <w:rPr>
                <w:b w:val="0"/>
                <w:sz w:val="17"/>
              </w:rPr>
              <w:t>Under what circumstances, if any, could chemical or pesticide guidance be considered?</w:t>
            </w:r>
          </w:p>
        </w:tc>
        <w:tc>
          <w:tcPr>
            <w:tcW w:type="dxa" w:w="3456"/>
            <w:vAlign w:val="center"/>
          </w:tcPr>
          <w:p>
            <w:r/>
            <w:r>
              <w:rPr>
                <w:b w:val="0"/>
                <w:sz w:val="17"/>
              </w:rPr>
              <w:t>Gated question</w:t>
            </w:r>
          </w:p>
        </w:tc>
      </w:tr>
      <w:tr>
        <w:tc>
          <w:tcPr>
            <w:tcW w:type="dxa" w:w="3456"/>
            <w:vAlign w:val="center"/>
          </w:tcPr>
          <w:p>
            <w:r/>
            <w:r>
              <w:rPr>
                <w:b w:val="0"/>
                <w:sz w:val="17"/>
              </w:rPr>
              <w:t>Uncertainty</w:t>
            </w:r>
          </w:p>
        </w:tc>
        <w:tc>
          <w:tcPr>
            <w:tcW w:type="dxa" w:w="3456"/>
            <w:vAlign w:val="center"/>
          </w:tcPr>
          <w:p>
            <w:r/>
            <w:r>
              <w:rPr>
                <w:b w:val="0"/>
                <w:sz w:val="17"/>
              </w:rPr>
              <w:t>How should EcoGrow communicate uncertain or low-confidence classifications?</w:t>
            </w:r>
          </w:p>
        </w:tc>
        <w:tc>
          <w:tcPr>
            <w:tcW w:type="dxa" w:w="3456"/>
            <w:vAlign w:val="center"/>
          </w:tcPr>
          <w:p>
            <w:r/>
            <w:r>
              <w:rPr>
                <w:b w:val="0"/>
                <w:sz w:val="17"/>
              </w:rPr>
              <w:t>Open question</w:t>
            </w:r>
          </w:p>
        </w:tc>
      </w:tr>
      <w:tr>
        <w:tc>
          <w:tcPr>
            <w:tcW w:type="dxa" w:w="3456"/>
            <w:vAlign w:val="center"/>
          </w:tcPr>
          <w:p>
            <w:r/>
            <w:r>
              <w:rPr>
                <w:b w:val="0"/>
                <w:sz w:val="17"/>
              </w:rPr>
              <w:t>Escalation</w:t>
            </w:r>
          </w:p>
        </w:tc>
        <w:tc>
          <w:tcPr>
            <w:tcW w:type="dxa" w:w="3456"/>
            <w:vAlign w:val="center"/>
          </w:tcPr>
          <w:p>
            <w:r/>
            <w:r>
              <w:rPr>
                <w:b w:val="0"/>
                <w:sz w:val="17"/>
              </w:rPr>
              <w:t>When should EcoGrow tell a gardener that professional or specialist advice is needed?</w:t>
            </w:r>
          </w:p>
        </w:tc>
        <w:tc>
          <w:tcPr>
            <w:tcW w:type="dxa" w:w="3456"/>
            <w:vAlign w:val="center"/>
          </w:tcPr>
          <w:p>
            <w:r/>
            <w:r>
              <w:rPr>
                <w:b w:val="0"/>
                <w:sz w:val="17"/>
              </w:rPr>
              <w:t>Open question</w:t>
            </w:r>
          </w:p>
        </w:tc>
      </w:tr>
      <w:tr>
        <w:tc>
          <w:tcPr>
            <w:tcW w:type="dxa" w:w="3456"/>
            <w:vAlign w:val="center"/>
          </w:tcPr>
          <w:p>
            <w:r/>
            <w:r>
              <w:rPr>
                <w:b w:val="0"/>
                <w:sz w:val="17"/>
              </w:rPr>
              <w:t>Data and privacy</w:t>
            </w:r>
          </w:p>
        </w:tc>
        <w:tc>
          <w:tcPr>
            <w:tcW w:type="dxa" w:w="3456"/>
            <w:vAlign w:val="center"/>
          </w:tcPr>
          <w:p>
            <w:r/>
            <w:r>
              <w:rPr>
                <w:b w:val="0"/>
                <w:sz w:val="17"/>
              </w:rPr>
              <w:t>What plant images, user inputs or history would be stored, processed or shared?</w:t>
            </w:r>
          </w:p>
        </w:tc>
        <w:tc>
          <w:tcPr>
            <w:tcW w:type="dxa" w:w="3456"/>
            <w:vAlign w:val="center"/>
          </w:tcPr>
          <w:p>
            <w:r/>
            <w:r>
              <w:rPr>
                <w:b w:val="0"/>
                <w:sz w:val="17"/>
              </w:rPr>
              <w:t>Open question</w:t>
            </w:r>
          </w:p>
        </w:tc>
      </w:tr>
    </w:tbl>
    <w:p>
      <w:pPr>
        <w:spacing w:after="40"/>
      </w:pPr>
    </w:p>
    <w:p>
      <w:pPr>
        <w:pStyle w:val="Heading1"/>
      </w:pPr>
      <w:r>
        <w:t>5. Candidate Future Requirements and Story Direction</w:t>
      </w:r>
    </w:p>
    <w:p>
      <w:r>
        <w:t>F03 remains intentionally unnumbered at this stage. The discovery variables and governance model are not sufficiently resolved to assign formal future requirement or story IDs.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shd w:fill="E8F2E8"/>
          </w:tcPr>
          <w:p>
            <w:r/>
            <w:r>
              <w:rPr>
                <w:b/>
                <w:sz w:val="17"/>
              </w:rPr>
              <w:t>Candidate requirement direction</w:t>
            </w:r>
          </w:p>
        </w:tc>
        <w:tc>
          <w:tcPr>
            <w:tcW w:type="dxa" w:w="5184"/>
            <w:vAlign w:val="center"/>
            <w:shd w:fill="E8F2E8"/>
          </w:tcPr>
          <w:p>
            <w:r/>
            <w:r>
              <w:rPr>
                <w:b/>
                <w:sz w:val="17"/>
              </w:rPr>
              <w:t>Current state</w:t>
            </w:r>
          </w:p>
        </w:tc>
      </w:tr>
      <w:tr>
        <w:tc>
          <w:tcPr>
            <w:tcW w:type="dxa" w:w="5184"/>
            <w:vAlign w:val="center"/>
          </w:tcPr>
          <w:p>
            <w:r/>
            <w:r>
              <w:rPr>
                <w:b w:val="0"/>
                <w:sz w:val="17"/>
              </w:rPr>
              <w:t>EcoGrow may help a gardener identify or classify a plant-health issue from supported symptoms or evidence.</w:t>
            </w:r>
          </w:p>
        </w:tc>
        <w:tc>
          <w:tcPr>
            <w:tcW w:type="dxa" w:w="5184"/>
            <w:vAlign w:val="center"/>
          </w:tcPr>
          <w:p>
            <w:r/>
            <w:r>
              <w:rPr>
                <w:b w:val="0"/>
                <w:sz w:val="17"/>
              </w:rPr>
              <w:t>Discovery candidate, no FR number assigned yet.</w:t>
            </w:r>
          </w:p>
        </w:tc>
      </w:tr>
      <w:tr>
        <w:tc>
          <w:tcPr>
            <w:tcW w:type="dxa" w:w="5184"/>
            <w:vAlign w:val="center"/>
          </w:tcPr>
          <w:p>
            <w:r/>
            <w:r>
              <w:rPr>
                <w:b w:val="0"/>
                <w:sz w:val="17"/>
              </w:rPr>
              <w:t>EcoGrow may provide governed protection guidance for validated plant-health conditions.</w:t>
            </w:r>
          </w:p>
        </w:tc>
        <w:tc>
          <w:tcPr>
            <w:tcW w:type="dxa" w:w="5184"/>
            <w:vAlign w:val="center"/>
          </w:tcPr>
          <w:p>
            <w:r/>
            <w:r>
              <w:rPr>
                <w:b w:val="0"/>
                <w:sz w:val="17"/>
              </w:rPr>
              <w:t>Discovery candidate, governance-gated.</w:t>
            </w:r>
          </w:p>
        </w:tc>
      </w:tr>
      <w:tr>
        <w:tc>
          <w:tcPr>
            <w:tcW w:type="dxa" w:w="5184"/>
            <w:vAlign w:val="center"/>
          </w:tcPr>
          <w:p>
            <w:r/>
            <w:r>
              <w:rPr>
                <w:b w:val="0"/>
                <w:sz w:val="17"/>
              </w:rPr>
              <w:t>Potential story direction: As a gardener, I want help understanding what may be affecting my plant so that I can decide what to do next.</w:t>
            </w:r>
          </w:p>
        </w:tc>
        <w:tc>
          <w:tcPr>
            <w:tcW w:type="dxa" w:w="5184"/>
            <w:vAlign w:val="center"/>
          </w:tcPr>
          <w:p>
            <w:r/>
            <w:r>
              <w:rPr>
                <w:b w:val="0"/>
                <w:sz w:val="17"/>
              </w:rPr>
              <w:t>Discovery candidate, no formal story ID.</w:t>
            </w:r>
          </w:p>
        </w:tc>
      </w:tr>
    </w:tbl>
    <w:p>
      <w:pPr>
        <w:spacing w:after="40"/>
      </w:pPr>
    </w:p>
    <w:p>
      <w:pPr>
        <w:pStyle w:val="Heading1"/>
      </w:pPr>
      <w:r>
        <w:t>6. Governance and Safety Boundary</w:t>
      </w:r>
    </w:p>
    <w:p>
      <w:r>
        <w:rPr>
          <w:b w:val="0"/>
        </w:rPr>
        <w:t xml:space="preserve">I am keeping plant-health governance separate from the F01 content-authority finding and the F02 weather/climate question. </w:t>
      </w:r>
      <w:r>
        <w:t>F03 introduces a higher-risk guidance domain because incorrect classification or treatment advice could lead to plant damage, inappropriate action, or misplaced confidence.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E8F2E8"/>
          </w:tcPr>
          <w:p>
            <w:r/>
            <w:r>
              <w:rPr>
                <w:b/>
                <w:sz w:val="17"/>
              </w:rPr>
              <w:t>Role / expertise</w:t>
            </w:r>
          </w:p>
        </w:tc>
        <w:tc>
          <w:tcPr>
            <w:tcW w:type="dxa" w:w="3456"/>
            <w:vAlign w:val="center"/>
            <w:shd w:fill="E8F2E8"/>
          </w:tcPr>
          <w:p>
            <w:r/>
            <w:r>
              <w:rPr>
                <w:b/>
                <w:sz w:val="17"/>
              </w:rPr>
              <w:t>Potential F03 relevance</w:t>
            </w:r>
          </w:p>
        </w:tc>
        <w:tc>
          <w:tcPr>
            <w:tcW w:type="dxa" w:w="3456"/>
            <w:vAlign w:val="center"/>
            <w:shd w:fill="E8F2E8"/>
          </w:tcPr>
          <w:p>
            <w:r/>
            <w:r>
              <w:rPr>
                <w:b/>
                <w:sz w:val="17"/>
              </w:rPr>
              <w:t>Current position</w:t>
            </w:r>
          </w:p>
        </w:tc>
      </w:tr>
      <w:tr>
        <w:tc>
          <w:tcPr>
            <w:tcW w:type="dxa" w:w="3456"/>
            <w:vAlign w:val="center"/>
          </w:tcPr>
          <w:p>
            <w:r/>
            <w:r>
              <w:rPr>
                <w:b w:val="0"/>
                <w:sz w:val="17"/>
              </w:rPr>
              <w:t>Gardener</w:t>
            </w:r>
          </w:p>
        </w:tc>
        <w:tc>
          <w:tcPr>
            <w:tcW w:type="dxa" w:w="3456"/>
            <w:vAlign w:val="center"/>
          </w:tcPr>
          <w:p>
            <w:r/>
            <w:r>
              <w:rPr>
                <w:b w:val="0"/>
                <w:sz w:val="17"/>
              </w:rPr>
              <w:t>Provides symptoms, observes outcomes and acts on guidance.</w:t>
            </w:r>
          </w:p>
        </w:tc>
        <w:tc>
          <w:tcPr>
            <w:tcW w:type="dxa" w:w="3456"/>
            <w:vAlign w:val="center"/>
          </w:tcPr>
          <w:p>
            <w:r/>
            <w:r>
              <w:rPr>
                <w:b w:val="0"/>
                <w:sz w:val="17"/>
              </w:rPr>
              <w:t>Primary persona</w:t>
            </w:r>
          </w:p>
        </w:tc>
      </w:tr>
      <w:tr>
        <w:tc>
          <w:tcPr>
            <w:tcW w:type="dxa" w:w="3456"/>
            <w:vAlign w:val="center"/>
          </w:tcPr>
          <w:p>
            <w:r/>
            <w:r>
              <w:rPr>
                <w:b w:val="0"/>
                <w:sz w:val="17"/>
              </w:rPr>
              <w:t>Product Owner / GreenSphere</w:t>
            </w:r>
          </w:p>
        </w:tc>
        <w:tc>
          <w:tcPr>
            <w:tcW w:type="dxa" w:w="3456"/>
            <w:vAlign w:val="center"/>
          </w:tcPr>
          <w:p>
            <w:r/>
            <w:r>
              <w:rPr>
                <w:b w:val="0"/>
                <w:sz w:val="17"/>
              </w:rPr>
              <w:t>Confirms value, scope, priority and acceptance.</w:t>
            </w:r>
          </w:p>
        </w:tc>
        <w:tc>
          <w:tcPr>
            <w:tcW w:type="dxa" w:w="3456"/>
            <w:vAlign w:val="center"/>
          </w:tcPr>
          <w:p>
            <w:r/>
            <w:r>
              <w:rPr>
                <w:b w:val="0"/>
                <w:sz w:val="17"/>
              </w:rPr>
              <w:t>Governance role</w:t>
            </w:r>
          </w:p>
        </w:tc>
      </w:tr>
      <w:tr>
        <w:tc>
          <w:tcPr>
            <w:tcW w:type="dxa" w:w="3456"/>
            <w:vAlign w:val="center"/>
          </w:tcPr>
          <w:p>
            <w:r/>
            <w:r>
              <w:rPr>
                <w:b w:val="0"/>
                <w:sz w:val="17"/>
              </w:rPr>
              <w:t>Plant Science / Horticulture SME</w:t>
            </w:r>
          </w:p>
        </w:tc>
        <w:tc>
          <w:tcPr>
            <w:tcW w:type="dxa" w:w="3456"/>
            <w:vAlign w:val="center"/>
          </w:tcPr>
          <w:p>
            <w:r/>
            <w:r>
              <w:rPr>
                <w:b w:val="0"/>
                <w:sz w:val="17"/>
              </w:rPr>
              <w:t>May validate plant-health interpretation and care implications.</w:t>
            </w:r>
          </w:p>
        </w:tc>
        <w:tc>
          <w:tcPr>
            <w:tcW w:type="dxa" w:w="3456"/>
            <w:vAlign w:val="center"/>
          </w:tcPr>
          <w:p>
            <w:r/>
            <w:r>
              <w:rPr>
                <w:b w:val="0"/>
                <w:sz w:val="17"/>
              </w:rPr>
              <w:t>Future governance dependency, not MVP entry</w:t>
            </w:r>
          </w:p>
        </w:tc>
      </w:tr>
      <w:tr>
        <w:tc>
          <w:tcPr>
            <w:tcW w:type="dxa" w:w="3456"/>
            <w:vAlign w:val="center"/>
          </w:tcPr>
          <w:p>
            <w:r/>
            <w:r>
              <w:rPr>
                <w:b w:val="0"/>
                <w:sz w:val="17"/>
              </w:rPr>
              <w:t>Specialist Plant Protection / Pest Management</w:t>
            </w:r>
          </w:p>
        </w:tc>
        <w:tc>
          <w:tcPr>
            <w:tcW w:type="dxa" w:w="3456"/>
            <w:vAlign w:val="center"/>
          </w:tcPr>
          <w:p>
            <w:r/>
            <w:r>
              <w:rPr>
                <w:b w:val="0"/>
                <w:sz w:val="17"/>
              </w:rPr>
              <w:t>May be required for pest, treatment or chemical guidance.</w:t>
            </w:r>
          </w:p>
        </w:tc>
        <w:tc>
          <w:tcPr>
            <w:tcW w:type="dxa" w:w="3456"/>
            <w:vAlign w:val="center"/>
          </w:tcPr>
          <w:p>
            <w:r/>
            <w:r>
              <w:rPr>
                <w:b w:val="0"/>
                <w:sz w:val="17"/>
              </w:rPr>
              <w:t>Open governance question, not added</w:t>
            </w:r>
          </w:p>
        </w:tc>
      </w:tr>
      <w:tr>
        <w:tc>
          <w:tcPr>
            <w:tcW w:type="dxa" w:w="3456"/>
            <w:vAlign w:val="center"/>
          </w:tcPr>
          <w:p>
            <w:r/>
            <w:r>
              <w:rPr>
                <w:b w:val="0"/>
                <w:sz w:val="17"/>
              </w:rPr>
              <w:t>Technical / Data / Platform</w:t>
            </w:r>
          </w:p>
        </w:tc>
        <w:tc>
          <w:tcPr>
            <w:tcW w:type="dxa" w:w="3456"/>
            <w:vAlign w:val="center"/>
          </w:tcPr>
          <w:p>
            <w:r/>
            <w:r>
              <w:rPr>
                <w:b w:val="0"/>
                <w:sz w:val="17"/>
              </w:rPr>
              <w:t>Supports capture, classification, data quality, integration and operational feasibility.</w:t>
            </w:r>
          </w:p>
        </w:tc>
        <w:tc>
          <w:tcPr>
            <w:tcW w:type="dxa" w:w="3456"/>
            <w:vAlign w:val="center"/>
          </w:tcPr>
          <w:p>
            <w:r/>
            <w:r>
              <w:rPr>
                <w:b w:val="0"/>
                <w:sz w:val="17"/>
              </w:rPr>
              <w:t>Delivery dependency, ownership TBD</w:t>
            </w:r>
          </w:p>
        </w:tc>
      </w:tr>
    </w:tbl>
    <w:p>
      <w:pPr>
        <w:spacing w:after="40"/>
      </w:pPr>
    </w:p>
    <w:p>
      <w:pPr>
        <w:pStyle w:val="Heading1"/>
      </w:pPr>
      <w:r>
        <w:t>7. NFR Discovery Themes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shd w:fill="E8F2E8"/>
          </w:tcPr>
          <w:p>
            <w:r/>
            <w:r>
              <w:rPr>
                <w:b/>
                <w:sz w:val="17"/>
              </w:rPr>
              <w:t>Theme</w:t>
            </w:r>
          </w:p>
        </w:tc>
        <w:tc>
          <w:tcPr>
            <w:tcW w:type="dxa" w:w="3456"/>
            <w:vAlign w:val="center"/>
            <w:shd w:fill="E8F2E8"/>
          </w:tcPr>
          <w:p>
            <w:r/>
            <w:r>
              <w:rPr>
                <w:b/>
                <w:sz w:val="17"/>
              </w:rPr>
              <w:t>Why it matters</w:t>
            </w:r>
          </w:p>
        </w:tc>
        <w:tc>
          <w:tcPr>
            <w:tcW w:type="dxa" w:w="3456"/>
            <w:vAlign w:val="center"/>
            <w:shd w:fill="E8F2E8"/>
          </w:tcPr>
          <w:p>
            <w:r/>
            <w:r>
              <w:rPr>
                <w:b/>
                <w:sz w:val="17"/>
              </w:rPr>
              <w:t>Current state</w:t>
            </w:r>
          </w:p>
        </w:tc>
      </w:tr>
      <w:tr>
        <w:tc>
          <w:tcPr>
            <w:tcW w:type="dxa" w:w="3456"/>
            <w:vAlign w:val="center"/>
          </w:tcPr>
          <w:p>
            <w:r/>
            <w:r>
              <w:rPr>
                <w:b w:val="0"/>
                <w:sz w:val="17"/>
              </w:rPr>
              <w:t>Accuracy and confidence</w:t>
            </w:r>
          </w:p>
        </w:tc>
        <w:tc>
          <w:tcPr>
            <w:tcW w:type="dxa" w:w="3456"/>
            <w:vAlign w:val="center"/>
          </w:tcPr>
          <w:p>
            <w:r/>
            <w:r>
              <w:rPr>
                <w:b w:val="0"/>
                <w:sz w:val="17"/>
              </w:rPr>
              <w:t>Wrong classifications could mislead gardeners.</w:t>
            </w:r>
          </w:p>
        </w:tc>
        <w:tc>
          <w:tcPr>
            <w:tcW w:type="dxa" w:w="3456"/>
            <w:vAlign w:val="center"/>
          </w:tcPr>
          <w:p>
            <w:r/>
            <w:r>
              <w:rPr>
                <w:b w:val="0"/>
                <w:sz w:val="17"/>
              </w:rPr>
              <w:t>Discovery theme</w:t>
            </w:r>
          </w:p>
        </w:tc>
      </w:tr>
      <w:tr>
        <w:tc>
          <w:tcPr>
            <w:tcW w:type="dxa" w:w="3456"/>
            <w:vAlign w:val="center"/>
          </w:tcPr>
          <w:p>
            <w:r/>
            <w:r>
              <w:rPr>
                <w:b w:val="0"/>
                <w:sz w:val="17"/>
              </w:rPr>
              <w:t>Explainability</w:t>
            </w:r>
          </w:p>
        </w:tc>
        <w:tc>
          <w:tcPr>
            <w:tcW w:type="dxa" w:w="3456"/>
            <w:vAlign w:val="center"/>
          </w:tcPr>
          <w:p>
            <w:r/>
            <w:r>
              <w:rPr>
                <w:b w:val="0"/>
                <w:sz w:val="17"/>
              </w:rPr>
              <w:t>The gardener should understand what evidence or symptoms support the guidance.</w:t>
            </w:r>
          </w:p>
        </w:tc>
        <w:tc>
          <w:tcPr>
            <w:tcW w:type="dxa" w:w="3456"/>
            <w:vAlign w:val="center"/>
          </w:tcPr>
          <w:p>
            <w:r/>
            <w:r>
              <w:rPr>
                <w:b w:val="0"/>
                <w:sz w:val="17"/>
              </w:rPr>
              <w:t>Discovery theme</w:t>
            </w:r>
          </w:p>
        </w:tc>
      </w:tr>
      <w:tr>
        <w:tc>
          <w:tcPr>
            <w:tcW w:type="dxa" w:w="3456"/>
            <w:vAlign w:val="center"/>
          </w:tcPr>
          <w:p>
            <w:r/>
            <w:r>
              <w:rPr>
                <w:b w:val="0"/>
                <w:sz w:val="17"/>
              </w:rPr>
              <w:t>Safety</w:t>
            </w:r>
          </w:p>
        </w:tc>
        <w:tc>
          <w:tcPr>
            <w:tcW w:type="dxa" w:w="3456"/>
            <w:vAlign w:val="center"/>
          </w:tcPr>
          <w:p>
            <w:r/>
            <w:r>
              <w:rPr>
                <w:b w:val="0"/>
                <w:sz w:val="17"/>
              </w:rPr>
              <w:t>Guidance must remain within validated protection boundaries.</w:t>
            </w:r>
          </w:p>
        </w:tc>
        <w:tc>
          <w:tcPr>
            <w:tcW w:type="dxa" w:w="3456"/>
            <w:vAlign w:val="center"/>
          </w:tcPr>
          <w:p>
            <w:r/>
            <w:r>
              <w:rPr>
                <w:b w:val="0"/>
                <w:sz w:val="17"/>
              </w:rPr>
              <w:t>Discovery theme, elevated</w:t>
            </w:r>
          </w:p>
        </w:tc>
      </w:tr>
      <w:tr>
        <w:tc>
          <w:tcPr>
            <w:tcW w:type="dxa" w:w="3456"/>
            <w:vAlign w:val="center"/>
          </w:tcPr>
          <w:p>
            <w:r/>
            <w:r>
              <w:rPr>
                <w:b w:val="0"/>
                <w:sz w:val="17"/>
              </w:rPr>
              <w:t>Uncertainty handling</w:t>
            </w:r>
          </w:p>
        </w:tc>
        <w:tc>
          <w:tcPr>
            <w:tcW w:type="dxa" w:w="3456"/>
            <w:vAlign w:val="center"/>
          </w:tcPr>
          <w:p>
            <w:r/>
            <w:r>
              <w:rPr>
                <w:b w:val="0"/>
                <w:sz w:val="17"/>
              </w:rPr>
              <w:t>Low-confidence or unknown cases need explicit treatment.</w:t>
            </w:r>
          </w:p>
        </w:tc>
        <w:tc>
          <w:tcPr>
            <w:tcW w:type="dxa" w:w="3456"/>
            <w:vAlign w:val="center"/>
          </w:tcPr>
          <w:p>
            <w:r/>
            <w:r>
              <w:rPr>
                <w:b w:val="0"/>
                <w:sz w:val="17"/>
              </w:rPr>
              <w:t>Discovery theme</w:t>
            </w:r>
          </w:p>
        </w:tc>
      </w:tr>
      <w:tr>
        <w:tc>
          <w:tcPr>
            <w:tcW w:type="dxa" w:w="3456"/>
            <w:vAlign w:val="center"/>
          </w:tcPr>
          <w:p>
            <w:r/>
            <w:r>
              <w:rPr>
                <w:b w:val="0"/>
                <w:sz w:val="17"/>
              </w:rPr>
              <w:t>Privacy</w:t>
            </w:r>
          </w:p>
        </w:tc>
        <w:tc>
          <w:tcPr>
            <w:tcW w:type="dxa" w:w="3456"/>
            <w:vAlign w:val="center"/>
          </w:tcPr>
          <w:p>
            <w:r/>
            <w:r>
              <w:rPr>
                <w:b w:val="0"/>
                <w:sz w:val="17"/>
              </w:rPr>
              <w:t>Images and user-provided plant data may require defined handling.</w:t>
            </w:r>
          </w:p>
        </w:tc>
        <w:tc>
          <w:tcPr>
            <w:tcW w:type="dxa" w:w="3456"/>
            <w:vAlign w:val="center"/>
          </w:tcPr>
          <w:p>
            <w:r/>
            <w:r>
              <w:rPr>
                <w:b w:val="0"/>
                <w:sz w:val="17"/>
              </w:rPr>
              <w:t>Discovery theme</w:t>
            </w:r>
          </w:p>
        </w:tc>
      </w:tr>
      <w:tr>
        <w:tc>
          <w:tcPr>
            <w:tcW w:type="dxa" w:w="3456"/>
            <w:vAlign w:val="center"/>
          </w:tcPr>
          <w:p>
            <w:r/>
            <w:r>
              <w:rPr>
                <w:b w:val="0"/>
                <w:sz w:val="17"/>
              </w:rPr>
              <w:t>Availability</w:t>
            </w:r>
          </w:p>
        </w:tc>
        <w:tc>
          <w:tcPr>
            <w:tcW w:type="dxa" w:w="3456"/>
            <w:vAlign w:val="center"/>
          </w:tcPr>
          <w:p>
            <w:r/>
            <w:r>
              <w:rPr>
                <w:b w:val="0"/>
                <w:sz w:val="17"/>
              </w:rPr>
              <w:t>External or classification dependencies may fail.</w:t>
            </w:r>
          </w:p>
        </w:tc>
        <w:tc>
          <w:tcPr>
            <w:tcW w:type="dxa" w:w="3456"/>
            <w:vAlign w:val="center"/>
          </w:tcPr>
          <w:p>
            <w:r/>
            <w:r>
              <w:rPr>
                <w:b w:val="0"/>
                <w:sz w:val="17"/>
              </w:rPr>
              <w:t>Discovery theme</w:t>
            </w:r>
          </w:p>
        </w:tc>
      </w:tr>
      <w:tr>
        <w:tc>
          <w:tcPr>
            <w:tcW w:type="dxa" w:w="3456"/>
            <w:vAlign w:val="center"/>
          </w:tcPr>
          <w:p>
            <w:r/>
            <w:r>
              <w:rPr>
                <w:b w:val="0"/>
                <w:sz w:val="17"/>
              </w:rPr>
              <w:t>Observability</w:t>
            </w:r>
          </w:p>
        </w:tc>
        <w:tc>
          <w:tcPr>
            <w:tcW w:type="dxa" w:w="3456"/>
            <w:vAlign w:val="center"/>
          </w:tcPr>
          <w:p>
            <w:r/>
            <w:r>
              <w:rPr>
                <w:b w:val="0"/>
                <w:sz w:val="17"/>
              </w:rPr>
              <w:t>Classification outcomes and usefulness should be measurable after real delivery.</w:t>
            </w:r>
          </w:p>
        </w:tc>
        <w:tc>
          <w:tcPr>
            <w:tcW w:type="dxa" w:w="3456"/>
            <w:vAlign w:val="center"/>
          </w:tcPr>
          <w:p>
            <w:r/>
            <w:r>
              <w:rPr>
                <w:b w:val="0"/>
                <w:sz w:val="17"/>
              </w:rPr>
              <w:t>Future delivery theme</w:t>
            </w:r>
          </w:p>
        </w:tc>
      </w:tr>
    </w:tbl>
    <w:p>
      <w:pPr>
        <w:spacing w:after="40"/>
      </w:pPr>
    </w:p>
    <w:p>
      <w:pPr>
        <w:pStyle w:val="Heading1"/>
        <w:pageBreakBefore/>
      </w:pPr>
      <w:r>
        <w:t>8. Progression Gate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shd w:fill="E8F2E8"/>
          </w:tcPr>
          <w:p>
            <w:r/>
            <w:r>
              <w:rPr>
                <w:b/>
                <w:sz w:val="17"/>
              </w:rPr>
              <w:t>Gate</w:t>
            </w:r>
          </w:p>
        </w:tc>
        <w:tc>
          <w:tcPr>
            <w:tcW w:type="dxa" w:w="5184"/>
            <w:vAlign w:val="center"/>
            <w:shd w:fill="E8F2E8"/>
          </w:tcPr>
          <w:p>
            <w:r/>
            <w:r>
              <w:rPr>
                <w:b/>
                <w:sz w:val="17"/>
              </w:rPr>
              <w:t>Required before delivery translation</w:t>
            </w:r>
          </w:p>
        </w:tc>
      </w:tr>
      <w:tr>
        <w:tc>
          <w:tcPr>
            <w:tcW w:type="dxa" w:w="5184"/>
            <w:vAlign w:val="center"/>
          </w:tcPr>
          <w:p>
            <w:r/>
            <w:r>
              <w:rPr>
                <w:b w:val="0"/>
                <w:sz w:val="17"/>
              </w:rPr>
              <w:t>Problem validation</w:t>
            </w:r>
          </w:p>
        </w:tc>
        <w:tc>
          <w:tcPr>
            <w:tcW w:type="dxa" w:w="5184"/>
            <w:vAlign w:val="center"/>
          </w:tcPr>
          <w:p>
            <w:r/>
            <w:r>
              <w:rPr>
                <w:b w:val="0"/>
                <w:sz w:val="17"/>
              </w:rPr>
              <w:t>Confirm the user problem and meaningful plant-health use cases.</w:t>
            </w:r>
          </w:p>
        </w:tc>
      </w:tr>
      <w:tr>
        <w:tc>
          <w:tcPr>
            <w:tcW w:type="dxa" w:w="5184"/>
            <w:vAlign w:val="center"/>
          </w:tcPr>
          <w:p>
            <w:r/>
            <w:r>
              <w:rPr>
                <w:b w:val="0"/>
                <w:sz w:val="17"/>
              </w:rPr>
              <w:t>Evidence and accuracy</w:t>
            </w:r>
          </w:p>
        </w:tc>
        <w:tc>
          <w:tcPr>
            <w:tcW w:type="dxa" w:w="5184"/>
            <w:vAlign w:val="center"/>
          </w:tcPr>
          <w:p>
            <w:r/>
            <w:r>
              <w:rPr>
                <w:b w:val="0"/>
                <w:sz w:val="17"/>
              </w:rPr>
              <w:t>Define the evidence standard and acceptable classification confidence.</w:t>
            </w:r>
          </w:p>
        </w:tc>
      </w:tr>
      <w:tr>
        <w:tc>
          <w:tcPr>
            <w:tcW w:type="dxa" w:w="5184"/>
            <w:vAlign w:val="center"/>
          </w:tcPr>
          <w:p>
            <w:r/>
            <w:r>
              <w:rPr>
                <w:b w:val="0"/>
                <w:sz w:val="17"/>
              </w:rPr>
              <w:t>Governance</w:t>
            </w:r>
          </w:p>
        </w:tc>
        <w:tc>
          <w:tcPr>
            <w:tcW w:type="dxa" w:w="5184"/>
            <w:vAlign w:val="center"/>
          </w:tcPr>
          <w:p>
            <w:r/>
            <w:r>
              <w:rPr>
                <w:b w:val="0"/>
                <w:sz w:val="17"/>
              </w:rPr>
              <w:t>Define who validates plant-health rules and content.</w:t>
            </w:r>
          </w:p>
        </w:tc>
      </w:tr>
      <w:tr>
        <w:tc>
          <w:tcPr>
            <w:tcW w:type="dxa" w:w="5184"/>
            <w:vAlign w:val="center"/>
          </w:tcPr>
          <w:p>
            <w:r/>
            <w:r>
              <w:rPr>
                <w:b w:val="0"/>
                <w:sz w:val="17"/>
              </w:rPr>
              <w:t>Safety boundary</w:t>
            </w:r>
          </w:p>
        </w:tc>
        <w:tc>
          <w:tcPr>
            <w:tcW w:type="dxa" w:w="5184"/>
            <w:vAlign w:val="center"/>
          </w:tcPr>
          <w:p>
            <w:r/>
            <w:r>
              <w:rPr>
                <w:b w:val="0"/>
                <w:sz w:val="17"/>
              </w:rPr>
              <w:t>Define allowed, disallowed and escalated guidance.</w:t>
            </w:r>
          </w:p>
        </w:tc>
      </w:tr>
      <w:tr>
        <w:tc>
          <w:tcPr>
            <w:tcW w:type="dxa" w:w="5184"/>
            <w:vAlign w:val="center"/>
          </w:tcPr>
          <w:p>
            <w:r/>
            <w:r>
              <w:rPr>
                <w:b w:val="0"/>
                <w:sz w:val="17"/>
              </w:rPr>
              <w:t>Specialist expertise</w:t>
            </w:r>
          </w:p>
        </w:tc>
        <w:tc>
          <w:tcPr>
            <w:tcW w:type="dxa" w:w="5184"/>
            <w:vAlign w:val="center"/>
          </w:tcPr>
          <w:p>
            <w:r/>
            <w:r>
              <w:rPr>
                <w:b w:val="0"/>
                <w:sz w:val="17"/>
              </w:rPr>
              <w:t>Determine when specialist plant-protection expertise is required.</w:t>
            </w:r>
          </w:p>
        </w:tc>
      </w:tr>
      <w:tr>
        <w:tc>
          <w:tcPr>
            <w:tcW w:type="dxa" w:w="5184"/>
            <w:vAlign w:val="center"/>
          </w:tcPr>
          <w:p>
            <w:r/>
            <w:r>
              <w:rPr>
                <w:b w:val="0"/>
                <w:sz w:val="17"/>
              </w:rPr>
              <w:t>Privacy</w:t>
            </w:r>
          </w:p>
        </w:tc>
        <w:tc>
          <w:tcPr>
            <w:tcW w:type="dxa" w:w="5184"/>
            <w:vAlign w:val="center"/>
          </w:tcPr>
          <w:p>
            <w:r/>
            <w:r>
              <w:rPr>
                <w:b w:val="0"/>
                <w:sz w:val="17"/>
              </w:rPr>
              <w:t>Define acceptable handling of symptoms, images and user context.</w:t>
            </w:r>
          </w:p>
        </w:tc>
      </w:tr>
      <w:tr>
        <w:tc>
          <w:tcPr>
            <w:tcW w:type="dxa" w:w="5184"/>
            <w:vAlign w:val="center"/>
          </w:tcPr>
          <w:p>
            <w:r/>
            <w:r>
              <w:rPr>
                <w:b w:val="0"/>
                <w:sz w:val="17"/>
              </w:rPr>
              <w:t>Acceptance logic</w:t>
            </w:r>
          </w:p>
        </w:tc>
        <w:tc>
          <w:tcPr>
            <w:tcW w:type="dxa" w:w="5184"/>
            <w:vAlign w:val="center"/>
          </w:tcPr>
          <w:p>
            <w:r/>
            <w:r>
              <w:rPr>
                <w:b w:val="0"/>
                <w:sz w:val="17"/>
              </w:rPr>
              <w:t>Only after the above are resolved can testable acceptance criteria be written.</w:t>
            </w:r>
          </w:p>
        </w:tc>
      </w:tr>
      <w:tr>
        <w:tc>
          <w:tcPr>
            <w:tcW w:type="dxa" w:w="5184"/>
            <w:vAlign w:val="center"/>
          </w:tcPr>
          <w:p>
            <w:r/>
            <w:r>
              <w:rPr>
                <w:b w:val="0"/>
                <w:sz w:val="17"/>
              </w:rPr>
              <w:t>Value and priority</w:t>
            </w:r>
          </w:p>
        </w:tc>
        <w:tc>
          <w:tcPr>
            <w:tcW w:type="dxa" w:w="5184"/>
            <w:vAlign w:val="center"/>
          </w:tcPr>
          <w:p>
            <w:r/>
            <w:r>
              <w:rPr>
                <w:b w:val="0"/>
                <w:sz w:val="17"/>
              </w:rPr>
              <w:t>GreenSphere makes an evidence-based decision on whether F03 should progress.</w:t>
            </w:r>
          </w:p>
        </w:tc>
      </w:tr>
    </w:tbl>
    <w:p>
      <w:pPr>
        <w:spacing w:after="40"/>
      </w:pPr>
    </w:p>
    <w:p>
      <w:pPr>
        <w:pStyle w:val="Heading1"/>
      </w:pPr>
      <w:r>
        <w:t>9. Pass 2 Decision</w:t>
      </w:r>
    </w:p>
    <w:p>
      <w:r>
        <w:rPr>
          <w:b/>
        </w:rPr>
        <w:t xml:space="preserve">Current decision: </w:t>
      </w:r>
      <w:r>
        <w:t>EPIC-F03 is retained as a credible future-state discovery candidate, but it is not ready for Jira translation. The discovery must first establish the user problem, evidence and accuracy expectations, safety boundary, content ownership, specialist expertise, privacy basis and acceptable treatment scope.</w:t>
      </w:r>
    </w:p>
    <w:p>
      <w:r>
        <w:t>Next controlled step: Resolve the F03 discovery questions before assigning a future requirement ID or story ID. No Story Points, Bugs, sprint results or delivery claims are created in discovery.</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EcoGrow Future-State Discovery | EPIC-F03 | Pass 2 | Doris Frank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