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EcoGrow Future-State Discovery</w:t>
      </w:r>
    </w:p>
    <w:p>
      <w:pPr>
        <w:jc w:val="center"/>
      </w:pPr>
      <w:r>
        <w:rPr>
          <w:b/>
          <w:sz w:val="32"/>
        </w:rPr>
        <w:t>EPIC-F03 Plant Health and Protection | Delivery Translation | Pass 3</w:t>
      </w:r>
    </w:p>
    <w:p>
      <w:pPr>
        <w:jc w:val="center"/>
      </w:pPr>
      <w:r>
        <w:rPr>
          <w:i/>
        </w:rPr>
        <w:t>Prepared by Doris Frank, Business Analyst</w:t>
      </w:r>
    </w:p>
    <w:p>
      <w:pPr>
        <w:jc w:val="center"/>
      </w:pPr>
      <w:r>
        <w:t>Status: Controlled gated translation. This pass does not amend the locked MVP, create Jira commitments, or represent approved delivery scope.</w:t>
      </w:r>
    </w:p>
    <w:p>
      <w:pPr>
        <w:pStyle w:val="Heading1"/>
      </w:pPr>
      <w:r>
        <w:t>1. Translation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Current position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Epic</w:t>
            </w:r>
          </w:p>
        </w:tc>
        <w:tc>
          <w:tcPr>
            <w:tcW w:type="dxa" w:w="5112"/>
            <w:vAlign w:val="center"/>
          </w:tcPr>
          <w:p>
            <w:r>
              <w:t>EPIC-F03 Plant Health and Protection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Features</w:t>
            </w:r>
          </w:p>
        </w:tc>
        <w:tc>
          <w:tcPr>
            <w:tcW w:type="dxa" w:w="5112"/>
            <w:vAlign w:val="center"/>
          </w:tcPr>
          <w:p>
            <w:r>
              <w:t>F03.1 Plant-Health Symptom Capture; F03.2 Plant-Health Classification; F03.3 Protection Guidance; F03.4 Treatment Guidance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Future requirement IDs</w:t>
            </w:r>
          </w:p>
        </w:tc>
        <w:tc>
          <w:tcPr>
            <w:tcW w:type="dxa" w:w="5112"/>
            <w:vAlign w:val="center"/>
          </w:tcPr>
          <w:p>
            <w:r>
              <w:t>Not assigned in this pass</w:t>
            </w:r>
          </w:p>
        </w:tc>
      </w:tr>
      <w:tr>
        <w:tc>
          <w:tcPr>
            <w:tcW w:type="dxa" w:w="5112"/>
            <w:vAlign w:val="center"/>
          </w:tcPr>
          <w:p>
            <w:r>
              <w:t>Future story ID</w:t>
            </w:r>
          </w:p>
        </w:tc>
        <w:tc>
          <w:tcPr>
            <w:tcW w:type="dxa" w:w="5112"/>
            <w:vAlign w:val="center"/>
          </w:tcPr>
          <w:p>
            <w:r>
              <w:t>Not assigned in this pass</w:t>
            </w:r>
          </w:p>
        </w:tc>
      </w:tr>
      <w:tr>
        <w:tc>
          <w:tcPr>
            <w:tcW w:type="dxa" w:w="5112"/>
            <w:vAlign w:val="center"/>
          </w:tcPr>
          <w:p>
            <w:r>
              <w:t>Jira status</w:t>
            </w:r>
          </w:p>
        </w:tc>
        <w:tc>
          <w:tcPr>
            <w:tcW w:type="dxa" w:w="5112"/>
            <w:vAlign w:val="center"/>
          </w:tcPr>
          <w:p>
            <w:r>
              <w:t>Not approved for Jira creation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Primary gate</w:t>
            </w:r>
          </w:p>
        </w:tc>
        <w:tc>
          <w:tcPr>
            <w:tcW w:type="dxa" w:w="5112"/>
            <w:vAlign w:val="center"/>
          </w:tcPr>
          <w:p>
            <w:r>
              <w:t>Stricter safety and governance progression bar remains open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Estimation</w:t>
            </w:r>
          </w:p>
        </w:tc>
        <w:tc>
          <w:tcPr>
            <w:tcW w:type="dxa" w:w="5112"/>
            <w:vAlign w:val="center"/>
          </w:tcPr>
          <w:p>
            <w:r>
              <w:t>No Story Points until real Sprint Planning</w:t>
            </w:r>
          </w:p>
        </w:tc>
      </w:tr>
    </w:tbl>
    <w:p>
      <w:pPr>
        <w:pStyle w:val="Heading1"/>
      </w:pPr>
      <w:r>
        <w:t>2. Translation Principle</w:t>
      </w:r>
    </w:p>
    <w:p>
      <w:r>
        <w:t>I am translating only the F03 structure that is sufficiently clear to frame, while keeping the stricter safety and governance gates visible. F03 is not being treated like a routine content feature.</w:t>
      </w:r>
    </w:p>
    <w:p>
      <w:r>
        <w:t>The locked MVP and the established F01, F02 and F05 boundaries remain separate.</w:t>
      </w:r>
    </w:p>
    <w:p>
      <w:pPr>
        <w:pStyle w:val="Heading1"/>
      </w:pPr>
      <w:r>
        <w:t>3. Future-State Delivery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ID / label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>
              <w:t>Epic</w:t>
            </w:r>
          </w:p>
        </w:tc>
        <w:tc>
          <w:tcPr>
            <w:tcW w:type="dxa" w:w="2556"/>
            <w:vAlign w:val="center"/>
          </w:tcPr>
          <w:p>
            <w:r>
              <w:t>EPIC-F03</w:t>
            </w:r>
          </w:p>
        </w:tc>
        <w:tc>
          <w:tcPr>
            <w:tcW w:type="dxa" w:w="2556"/>
            <w:vAlign w:val="center"/>
          </w:tcPr>
          <w:p>
            <w:r>
              <w:t>Plant Health and Protection</w:t>
            </w:r>
          </w:p>
        </w:tc>
        <w:tc>
          <w:tcPr>
            <w:tcW w:type="dxa" w:w="2556"/>
            <w:vAlign w:val="center"/>
          </w:tcPr>
          <w:p>
            <w:r>
              <w:t>Discovery candidate</w:t>
            </w:r>
          </w:p>
        </w:tc>
      </w:tr>
      <w:tr>
        <w:tc>
          <w:tcPr>
            <w:tcW w:type="dxa" w:w="2556"/>
            <w:vAlign w:val="center"/>
          </w:tcPr>
          <w:p>
            <w:r>
              <w:t>Feature</w:t>
            </w:r>
          </w:p>
        </w:tc>
        <w:tc>
          <w:tcPr>
            <w:tcW w:type="dxa" w:w="2556"/>
            <w:vAlign w:val="center"/>
          </w:tcPr>
          <w:p>
            <w:r>
              <w:t>F03.1</w:t>
            </w:r>
          </w:p>
        </w:tc>
        <w:tc>
          <w:tcPr>
            <w:tcW w:type="dxa" w:w="2556"/>
            <w:vAlign w:val="center"/>
          </w:tcPr>
          <w:p>
            <w:r>
              <w:t>Plant-Health Symptom Capture</w:t>
            </w:r>
          </w:p>
        </w:tc>
        <w:tc>
          <w:tcPr>
            <w:tcW w:type="dxa" w:w="2556"/>
            <w:vAlign w:val="center"/>
          </w:tcPr>
          <w:p>
            <w:r>
              <w:t>Discovery feature</w:t>
            </w:r>
          </w:p>
        </w:tc>
      </w:tr>
      <w:tr>
        <w:tc>
          <w:tcPr>
            <w:tcW w:type="dxa" w:w="2556"/>
            <w:vAlign w:val="center"/>
          </w:tcPr>
          <w:p>
            <w:r>
              <w:t>Feature</w:t>
            </w:r>
          </w:p>
        </w:tc>
        <w:tc>
          <w:tcPr>
            <w:tcW w:type="dxa" w:w="2556"/>
            <w:vAlign w:val="center"/>
          </w:tcPr>
          <w:p>
            <w:r>
              <w:t>F03.2</w:t>
            </w:r>
          </w:p>
        </w:tc>
        <w:tc>
          <w:tcPr>
            <w:tcW w:type="dxa" w:w="2556"/>
            <w:vAlign w:val="center"/>
          </w:tcPr>
          <w:p>
            <w:r>
              <w:t>Plant-Health Classification</w:t>
            </w:r>
          </w:p>
        </w:tc>
        <w:tc>
          <w:tcPr>
            <w:tcW w:type="dxa" w:w="2556"/>
            <w:vAlign w:val="center"/>
          </w:tcPr>
          <w:p>
            <w:r>
              <w:t>Discovery feature, elevated evidence gate</w:t>
            </w:r>
          </w:p>
        </w:tc>
      </w:tr>
      <w:tr>
        <w:tc>
          <w:tcPr>
            <w:tcW w:type="dxa" w:w="2556"/>
            <w:vAlign w:val="center"/>
          </w:tcPr>
          <w:p>
            <w:r>
              <w:t>Feature</w:t>
            </w:r>
          </w:p>
        </w:tc>
        <w:tc>
          <w:tcPr>
            <w:tcW w:type="dxa" w:w="2556"/>
            <w:vAlign w:val="center"/>
          </w:tcPr>
          <w:p>
            <w:r>
              <w:t>F03.3</w:t>
            </w:r>
          </w:p>
        </w:tc>
        <w:tc>
          <w:tcPr>
            <w:tcW w:type="dxa" w:w="2556"/>
            <w:vAlign w:val="center"/>
          </w:tcPr>
          <w:p>
            <w:r>
              <w:t>Protection Guidance</w:t>
            </w:r>
          </w:p>
        </w:tc>
        <w:tc>
          <w:tcPr>
            <w:tcW w:type="dxa" w:w="2556"/>
            <w:vAlign w:val="center"/>
          </w:tcPr>
          <w:p>
            <w:r>
              <w:t>Discovery feature, elevated governance gate</w:t>
            </w:r>
          </w:p>
        </w:tc>
      </w:tr>
      <w:tr>
        <w:tc>
          <w:tcPr>
            <w:tcW w:type="dxa" w:w="2556"/>
            <w:vAlign w:val="center"/>
          </w:tcPr>
          <w:p>
            <w:r>
              <w:t>Feature</w:t>
            </w:r>
          </w:p>
        </w:tc>
        <w:tc>
          <w:tcPr>
            <w:tcW w:type="dxa" w:w="2556"/>
            <w:vAlign w:val="center"/>
          </w:tcPr>
          <w:p>
            <w:r>
              <w:t>F03.4</w:t>
            </w:r>
          </w:p>
        </w:tc>
        <w:tc>
          <w:tcPr>
            <w:tcW w:type="dxa" w:w="2556"/>
            <w:vAlign w:val="center"/>
          </w:tcPr>
          <w:p>
            <w:r>
              <w:t>Treatment Guidance</w:t>
            </w:r>
          </w:p>
        </w:tc>
        <w:tc>
          <w:tcPr>
            <w:tcW w:type="dxa" w:w="2556"/>
            <w:vAlign w:val="center"/>
          </w:tcPr>
          <w:p>
            <w:r>
              <w:t>Discovery feature, stricter safety gate</w:t>
            </w:r>
          </w:p>
        </w:tc>
      </w:tr>
      <w:tr>
        <w:tc>
          <w:tcPr>
            <w:tcW w:type="dxa" w:w="2556"/>
            <w:vAlign w:val="center"/>
          </w:tcPr>
          <w:p>
            <w:r>
              <w:t>Requirement</w:t>
            </w:r>
          </w:p>
        </w:tc>
        <w:tc>
          <w:tcPr>
            <w:tcW w:type="dxa" w:w="2556"/>
            <w:vAlign w:val="center"/>
          </w:tcPr>
          <w:p>
            <w:r>
              <w:t>Unassigned</w:t>
            </w:r>
          </w:p>
        </w:tc>
        <w:tc>
          <w:tcPr>
            <w:tcW w:type="dxa" w:w="2556"/>
            <w:vAlign w:val="center"/>
          </w:tcPr>
          <w:p>
            <w:r>
              <w:t>EcoGrow may help a gardener interpret a plant-health issue from supported symptoms or evidence.</w:t>
            </w:r>
          </w:p>
        </w:tc>
        <w:tc>
          <w:tcPr>
            <w:tcW w:type="dxa" w:w="2556"/>
            <w:vAlign w:val="center"/>
          </w:tcPr>
          <w:p>
            <w:r>
              <w:t>Candidate, no ID</w:t>
            </w:r>
          </w:p>
        </w:tc>
      </w:tr>
      <w:tr>
        <w:tc>
          <w:tcPr>
            <w:tcW w:type="dxa" w:w="2556"/>
            <w:vAlign w:val="center"/>
          </w:tcPr>
          <w:p>
            <w:r>
              <w:t>Requirement</w:t>
            </w:r>
          </w:p>
        </w:tc>
        <w:tc>
          <w:tcPr>
            <w:tcW w:type="dxa" w:w="2556"/>
            <w:vAlign w:val="center"/>
          </w:tcPr>
          <w:p>
            <w:r>
              <w:t>Unassigned</w:t>
            </w:r>
          </w:p>
        </w:tc>
        <w:tc>
          <w:tcPr>
            <w:tcW w:type="dxa" w:w="2556"/>
            <w:vAlign w:val="center"/>
          </w:tcPr>
          <w:p>
            <w:r>
              <w:t>EcoGrow may provide governed protection guidance for validated plant-health conditions.</w:t>
            </w:r>
          </w:p>
        </w:tc>
        <w:tc>
          <w:tcPr>
            <w:tcW w:type="dxa" w:w="2556"/>
            <w:vAlign w:val="center"/>
          </w:tcPr>
          <w:p>
            <w:r>
              <w:t>Candidate, no ID</w:t>
            </w:r>
          </w:p>
        </w:tc>
      </w:tr>
      <w:tr>
        <w:tc>
          <w:tcPr>
            <w:tcW w:type="dxa" w:w="2556"/>
            <w:vAlign w:val="center"/>
          </w:tcPr>
          <w:p>
            <w:r>
              <w:t>Story direction</w:t>
            </w:r>
          </w:p>
        </w:tc>
        <w:tc>
          <w:tcPr>
            <w:tcW w:type="dxa" w:w="2556"/>
            <w:vAlign w:val="center"/>
          </w:tcPr>
          <w:p>
            <w:r>
              <w:t>Unassigned</w:t>
            </w:r>
          </w:p>
        </w:tc>
        <w:tc>
          <w:tcPr>
            <w:tcW w:type="dxa" w:w="2556"/>
            <w:vAlign w:val="center"/>
          </w:tcPr>
          <w:p>
            <w:r>
              <w:t>As a gardener, I want help understanding what may be affecting my plant so that I can decide what to do next.</w:t>
            </w:r>
          </w:p>
        </w:tc>
        <w:tc>
          <w:tcPr>
            <w:tcW w:type="dxa" w:w="2556"/>
            <w:vAlign w:val="center"/>
          </w:tcPr>
          <w:p>
            <w:r>
              <w:t>Candidate, no ID</w:t>
            </w:r>
          </w:p>
        </w:tc>
      </w:tr>
    </w:tbl>
    <w:p>
      <w:pPr>
        <w:pStyle w:val="Heading1"/>
      </w:pPr>
      <w:r>
        <w:t>4. F03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</w:tcPr>
          <w:p>
            <w:r>
              <w:rPr>
                <w:b/>
              </w:rPr>
              <w:t>In scope for gated discovery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Not in scope / not yet authorised</w:t>
            </w:r>
          </w:p>
        </w:tc>
      </w:tr>
      <w:tr>
        <w:tc>
          <w:tcPr>
            <w:tcW w:type="dxa" w:w="5112"/>
            <w:vAlign w:val="center"/>
          </w:tcPr>
          <w:p>
            <w:r>
              <w:t>Supported symptom capture and plant-health classification discovery.</w:t>
            </w:r>
          </w:p>
        </w:tc>
        <w:tc>
          <w:tcPr>
            <w:tcW w:type="dxa" w:w="5112"/>
            <w:vAlign w:val="center"/>
          </w:tcPr>
          <w:p>
            <w:r>
              <w:t>Automatic classification presented as certain without evidence or confidence controls.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Protection guidance discovery where validated evidence and content authority exist.</w:t>
            </w:r>
          </w:p>
        </w:tc>
        <w:tc>
          <w:tcPr>
            <w:tcW w:type="dxa" w:w="5112"/>
            <w:vAlign w:val="center"/>
          </w:tcPr>
          <w:p>
            <w:r>
              <w:t>Automatic pesticide or chemical recommendations.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Safe handling of unknown, low-confidence and escalated cases.</w:t>
            </w:r>
          </w:p>
        </w:tc>
        <w:tc>
          <w:tcPr>
            <w:tcW w:type="dxa" w:w="5112"/>
            <w:vAlign w:val="center"/>
          </w:tcPr>
          <w:p>
            <w:r>
              <w:t>Treatment guidance without separate safety, evidence and specialist governance.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Privacy and data handling questions for images, symptoms and user context.</w:t>
            </w:r>
          </w:p>
        </w:tc>
        <w:tc>
          <w:tcPr>
            <w:tcW w:type="dxa" w:w="5112"/>
            <w:vAlign w:val="center"/>
          </w:tcPr>
          <w:p>
            <w:r>
              <w:t>F01 plant-specific care and watering, F02 weather-aware context, and F05 personalisation.</w:t>
            </w:r>
          </w:p>
        </w:tc>
      </w:tr>
    </w:tbl>
    <w:p>
      <w:pPr>
        <w:pStyle w:val="Heading1"/>
      </w:pPr>
      <w:r>
        <w:t>5. Acceptance Logic Framework</w:t>
      </w:r>
    </w:p>
    <w:p>
      <w:r>
        <w:t>Formal testable acceptance criteria remain deferred. They may be written only after the stricter F03 progression bar is closed.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</w:tcPr>
          <w:p>
            <w:r>
              <w:rPr>
                <w:b/>
              </w:rPr>
              <w:t>Acceptance area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Translation focus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3408"/>
            <w:vAlign w:val="center"/>
          </w:tcPr>
          <w:p>
            <w:r>
              <w:t>User problem</w:t>
            </w:r>
          </w:p>
        </w:tc>
        <w:tc>
          <w:tcPr>
            <w:tcW w:type="dxa" w:w="3408"/>
            <w:vAlign w:val="center"/>
          </w:tcPr>
          <w:p>
            <w:r>
              <w:t>Feature must address a validated plant-health use case.</w:t>
            </w:r>
          </w:p>
        </w:tc>
        <w:tc>
          <w:tcPr>
            <w:tcW w:type="dxa" w:w="3408"/>
            <w:vAlign w:val="center"/>
          </w:tcPr>
          <w:p>
            <w:r>
              <w:t>Confirm problem validation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Identification boundary</w:t>
            </w:r>
          </w:p>
        </w:tc>
        <w:tc>
          <w:tcPr>
            <w:tcW w:type="dxa" w:w="3408"/>
            <w:vAlign w:val="center"/>
          </w:tcPr>
          <w:p>
            <w:r>
              <w:t>System behaviour must distinguish supported, unknown and escalated cases.</w:t>
            </w:r>
          </w:p>
        </w:tc>
        <w:tc>
          <w:tcPr>
            <w:tcW w:type="dxa" w:w="3408"/>
            <w:vAlign w:val="center"/>
          </w:tcPr>
          <w:p>
            <w:r>
              <w:t>Define classification boundary</w:t>
            </w:r>
          </w:p>
        </w:tc>
      </w:tr>
      <w:tr>
        <w:tc>
          <w:tcPr>
            <w:tcW w:type="dxa" w:w="3408"/>
            <w:vAlign w:val="center"/>
          </w:tcPr>
          <w:p>
            <w:r>
              <w:t>Evidence</w:t>
            </w:r>
          </w:p>
        </w:tc>
        <w:tc>
          <w:tcPr>
            <w:tcW w:type="dxa" w:w="3408"/>
            <w:vAlign w:val="center"/>
          </w:tcPr>
          <w:p>
            <w:r>
              <w:t>Shown classifications must meet an agreed evidence standard.</w:t>
            </w:r>
          </w:p>
        </w:tc>
        <w:tc>
          <w:tcPr>
            <w:tcW w:type="dxa" w:w="3408"/>
            <w:vAlign w:val="center"/>
          </w:tcPr>
          <w:p>
            <w:r>
              <w:t>Define evidence model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Confidence</w:t>
            </w:r>
          </w:p>
        </w:tc>
        <w:tc>
          <w:tcPr>
            <w:tcW w:type="dxa" w:w="3408"/>
            <w:vAlign w:val="center"/>
          </w:tcPr>
          <w:p>
            <w:r>
              <w:t>Low-confidence results must not be presented as certain.</w:t>
            </w:r>
          </w:p>
        </w:tc>
        <w:tc>
          <w:tcPr>
            <w:tcW w:type="dxa" w:w="3408"/>
            <w:vAlign w:val="center"/>
          </w:tcPr>
          <w:p>
            <w:r>
              <w:t>Define confidence rule</w:t>
            </w:r>
          </w:p>
        </w:tc>
      </w:tr>
      <w:tr>
        <w:tc>
          <w:tcPr>
            <w:tcW w:type="dxa" w:w="3408"/>
            <w:vAlign w:val="center"/>
          </w:tcPr>
          <w:p>
            <w:r>
              <w:t>Governance</w:t>
            </w:r>
          </w:p>
        </w:tc>
        <w:tc>
          <w:tcPr>
            <w:tcW w:type="dxa" w:w="3408"/>
            <w:vAlign w:val="center"/>
          </w:tcPr>
          <w:p>
            <w:r>
              <w:t>Plant-health rules and content need accountable validation.</w:t>
            </w:r>
          </w:p>
        </w:tc>
        <w:tc>
          <w:tcPr>
            <w:tcW w:type="dxa" w:w="3408"/>
            <w:vAlign w:val="center"/>
          </w:tcPr>
          <w:p>
            <w:r>
              <w:t>Confirm owner and review model</w:t>
            </w:r>
          </w:p>
        </w:tc>
      </w:tr>
      <w:tr>
        <w:tc>
          <w:tcPr>
            <w:tcW w:type="dxa" w:w="3408"/>
            <w:vAlign w:val="center"/>
          </w:tcPr>
          <w:p>
            <w:r>
              <w:t>Safety</w:t>
            </w:r>
          </w:p>
        </w:tc>
        <w:tc>
          <w:tcPr>
            <w:tcW w:type="dxa" w:w="3408"/>
            <w:vAlign w:val="center"/>
          </w:tcPr>
          <w:p>
            <w:r>
              <w:t>Guidance must stay within approved protection boundaries.</w:t>
            </w:r>
          </w:p>
        </w:tc>
        <w:tc>
          <w:tcPr>
            <w:tcW w:type="dxa" w:w="3408"/>
            <w:vAlign w:val="center"/>
          </w:tcPr>
          <w:p>
            <w:r>
              <w:t>Confirm safety policy</w:t>
            </w:r>
          </w:p>
        </w:tc>
      </w:tr>
      <w:tr>
        <w:tc>
          <w:tcPr>
            <w:tcW w:type="dxa" w:w="3408"/>
            <w:vAlign w:val="center"/>
          </w:tcPr>
          <w:p>
            <w:r>
              <w:t>Specialist escalation</w:t>
            </w:r>
          </w:p>
        </w:tc>
        <w:tc>
          <w:tcPr>
            <w:tcW w:type="dxa" w:w="3408"/>
            <w:vAlign w:val="center"/>
          </w:tcPr>
          <w:p>
            <w:r>
              <w:t>Cases requiring specialist expertise must have a defined path.</w:t>
            </w:r>
          </w:p>
        </w:tc>
        <w:tc>
          <w:tcPr>
            <w:tcW w:type="dxa" w:w="3408"/>
            <w:vAlign w:val="center"/>
          </w:tcPr>
          <w:p>
            <w:r>
              <w:t>Define escalation rule</w:t>
            </w:r>
          </w:p>
        </w:tc>
      </w:tr>
      <w:tr>
        <w:tc>
          <w:tcPr>
            <w:tcW w:type="dxa" w:w="3408"/>
            <w:vAlign w:val="center"/>
          </w:tcPr>
          <w:p>
            <w:r>
              <w:t>Privacy</w:t>
            </w:r>
          </w:p>
        </w:tc>
        <w:tc>
          <w:tcPr>
            <w:tcW w:type="dxa" w:w="3408"/>
            <w:vAlign w:val="center"/>
          </w:tcPr>
          <w:p>
            <w:r>
              <w:t>Images and user-provided context need a defined handling basis.</w:t>
            </w:r>
          </w:p>
        </w:tc>
        <w:tc>
          <w:tcPr>
            <w:tcW w:type="dxa" w:w="3408"/>
            <w:vAlign w:val="center"/>
          </w:tcPr>
          <w:p>
            <w:r>
              <w:t>Confirm privacy model</w:t>
            </w:r>
          </w:p>
        </w:tc>
      </w:tr>
    </w:tbl>
    <w:p>
      <w:pPr>
        <w:pStyle w:val="Heading1"/>
      </w:pPr>
      <w:r>
        <w:t>6. NFR and Data Translation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</w:tcPr>
          <w:p>
            <w:r>
              <w:rPr>
                <w:b/>
              </w:rPr>
              <w:t>Theme / data area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Current translation state</w:t>
            </w:r>
          </w:p>
        </w:tc>
      </w:tr>
      <w:tr>
        <w:tc>
          <w:tcPr>
            <w:tcW w:type="dxa" w:w="5112"/>
            <w:vAlign w:val="center"/>
          </w:tcPr>
          <w:p>
            <w:r>
              <w:t>Accuracy and confidence</w:t>
            </w:r>
          </w:p>
        </w:tc>
        <w:tc>
          <w:tcPr>
            <w:tcW w:type="dxa" w:w="5112"/>
            <w:vAlign w:val="center"/>
          </w:tcPr>
          <w:p>
            <w:r>
              <w:t>Evidence and confidence thresholds remain open.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Explainability</w:t>
            </w:r>
          </w:p>
        </w:tc>
        <w:tc>
          <w:tcPr>
            <w:tcW w:type="dxa" w:w="5112"/>
            <w:vAlign w:val="center"/>
          </w:tcPr>
          <w:p>
            <w:r>
              <w:t>Guidance should show meaningful supporting evidence or limitations.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Safety</w:t>
            </w:r>
          </w:p>
        </w:tc>
        <w:tc>
          <w:tcPr>
            <w:tcW w:type="dxa" w:w="5112"/>
            <w:vAlign w:val="center"/>
          </w:tcPr>
          <w:p>
            <w:r>
              <w:t>Elevated theme requiring explicit controls before delivery.</w:t>
            </w:r>
          </w:p>
        </w:tc>
      </w:tr>
      <w:tr>
        <w:tc>
          <w:tcPr>
            <w:tcW w:type="dxa" w:w="5112"/>
            <w:vAlign w:val="center"/>
          </w:tcPr>
          <w:p>
            <w:r>
              <w:t>Uncertainty handling</w:t>
            </w:r>
          </w:p>
        </w:tc>
        <w:tc>
          <w:tcPr>
            <w:tcW w:type="dxa" w:w="5112"/>
            <w:vAlign w:val="center"/>
          </w:tcPr>
          <w:p>
            <w:r>
              <w:t>Unknown and low-confidence cases need a defined safe response.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Privacy</w:t>
            </w:r>
          </w:p>
        </w:tc>
        <w:tc>
          <w:tcPr>
            <w:tcW w:type="dxa" w:w="5112"/>
            <w:vAlign w:val="center"/>
          </w:tcPr>
          <w:p>
            <w:r>
              <w:t>Image and user data handling remains open.</w:t>
            </w:r>
          </w:p>
        </w:tc>
      </w:tr>
      <w:tr>
        <w:tc>
          <w:tcPr>
            <w:tcW w:type="dxa" w:w="5112"/>
            <w:vAlign w:val="center"/>
          </w:tcPr>
          <w:p>
            <w:r>
              <w:t>Availability</w:t>
            </w:r>
          </w:p>
        </w:tc>
        <w:tc>
          <w:tcPr>
            <w:tcW w:type="dxa" w:w="5112"/>
            <w:vAlign w:val="center"/>
          </w:tcPr>
          <w:p>
            <w:r>
              <w:t>Classification dependencies may fail and need bounded behaviour.</w:t>
            </w:r>
          </w:p>
        </w:tc>
      </w:tr>
      <w:tr>
        <w:tc>
          <w:tcPr>
            <w:tcW w:type="dxa" w:w="5112"/>
            <w:vAlign w:val="center"/>
          </w:tcPr>
          <w:p>
            <w:r>
              <w:t>Observability</w:t>
            </w:r>
          </w:p>
        </w:tc>
        <w:tc>
          <w:tcPr>
            <w:tcW w:type="dxa" w:w="5112"/>
            <w:vAlign w:val="center"/>
          </w:tcPr>
          <w:p>
            <w:r>
              <w:t>Outcomes and usefulness should be measurable after real delivery.</w:t>
            </w:r>
          </w:p>
        </w:tc>
      </w:tr>
      <w:tr>
        <w:tc>
          <w:tcPr>
            <w:tcW w:type="dxa" w:w="5112"/>
            <w:vAlign w:val="center"/>
          </w:tcPr>
          <w:p>
            <w:r>
              <w:t>Plant symptom input</w:t>
            </w:r>
          </w:p>
        </w:tc>
        <w:tc>
          <w:tcPr>
            <w:tcW w:type="dxa" w:w="5112"/>
            <w:vAlign w:val="center"/>
          </w:tcPr>
          <w:p>
            <w:r>
              <w:t>Credible input method remains open.</w:t>
            </w:r>
          </w:p>
        </w:tc>
      </w:tr>
      <w:tr>
        <w:tc>
          <w:tcPr>
            <w:tcW w:type="dxa" w:w="5112"/>
            <w:vAlign w:val="center"/>
          </w:tcPr>
          <w:p>
            <w:r>
              <w:t>Plant-health knowledge</w:t>
            </w:r>
          </w:p>
        </w:tc>
        <w:tc>
          <w:tcPr>
            <w:tcW w:type="dxa" w:w="5112"/>
            <w:vAlign w:val="center"/>
          </w:tcPr>
          <w:p>
            <w:r>
              <w:t>Authoritative evidence source remains open.</w:t>
            </w:r>
          </w:p>
        </w:tc>
      </w:tr>
    </w:tbl>
    <w:p>
      <w:pPr>
        <w:pStyle w:val="Heading1"/>
      </w:pPr>
      <w:r>
        <w:t>7. Governance and Stakeholder Translation</w:t>
      </w:r>
    </w:p>
    <w:p>
      <w:r>
        <w:t>I am keeping F03 governance distinct from F01 content authority and F02 weather governance. F03 requires a plant-health validation model and may require specialist plant-protection expertise before treatment or chemical guidance is considered.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</w:tcPr>
          <w:p>
            <w:r>
              <w:rPr>
                <w:b/>
              </w:rPr>
              <w:t>Role / expertise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F03 relevance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Current position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Gardener</w:t>
            </w:r>
          </w:p>
        </w:tc>
        <w:tc>
          <w:tcPr>
            <w:tcW w:type="dxa" w:w="3408"/>
            <w:vAlign w:val="center"/>
          </w:tcPr>
          <w:p>
            <w:r>
              <w:t>Provides symptoms, observes outcomes and acts on guidance.</w:t>
            </w:r>
          </w:p>
        </w:tc>
        <w:tc>
          <w:tcPr>
            <w:tcW w:type="dxa" w:w="3408"/>
            <w:vAlign w:val="center"/>
          </w:tcPr>
          <w:p>
            <w:r>
              <w:t>Primary persona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Product Owner / GreenSphere</w:t>
            </w:r>
          </w:p>
        </w:tc>
        <w:tc>
          <w:tcPr>
            <w:tcW w:type="dxa" w:w="3408"/>
            <w:vAlign w:val="center"/>
          </w:tcPr>
          <w:p>
            <w:r>
              <w:t>Confirms value, scope, priority and acceptance.</w:t>
            </w:r>
          </w:p>
        </w:tc>
        <w:tc>
          <w:tcPr>
            <w:tcW w:type="dxa" w:w="3408"/>
            <w:vAlign w:val="center"/>
          </w:tcPr>
          <w:p>
            <w:r>
              <w:t>Governance role</w:t>
            </w:r>
          </w:p>
        </w:tc>
      </w:tr>
      <w:tr>
        <w:tc>
          <w:tcPr>
            <w:tcW w:type="dxa" w:w="3408"/>
            <w:vAlign w:val="center"/>
          </w:tcPr>
          <w:p>
            <w:r>
              <w:t>Plant Science / Horticulture SME</w:t>
            </w:r>
          </w:p>
        </w:tc>
        <w:tc>
          <w:tcPr>
            <w:tcW w:type="dxa" w:w="3408"/>
            <w:vAlign w:val="center"/>
          </w:tcPr>
          <w:p>
            <w:r>
              <w:t>May validate plant-health interpretation and care implications.</w:t>
            </w:r>
          </w:p>
        </w:tc>
        <w:tc>
          <w:tcPr>
            <w:tcW w:type="dxa" w:w="3408"/>
            <w:vAlign w:val="center"/>
          </w:tcPr>
          <w:p>
            <w:r>
              <w:t>Future governance dependency, not MVP entry</w:t>
            </w:r>
          </w:p>
        </w:tc>
      </w:tr>
      <w:tr>
        <w:tc>
          <w:tcPr>
            <w:tcW w:type="dxa" w:w="3408"/>
            <w:vAlign w:val="center"/>
          </w:tcPr>
          <w:p>
            <w:r>
              <w:t>Specialist Plant Protection / Pest Management</w:t>
            </w:r>
          </w:p>
        </w:tc>
        <w:tc>
          <w:tcPr>
            <w:tcW w:type="dxa" w:w="3408"/>
            <w:vAlign w:val="center"/>
          </w:tcPr>
          <w:p>
            <w:r>
              <w:t>May be required for pest, treatment or chemical guidance.</w:t>
            </w:r>
          </w:p>
        </w:tc>
        <w:tc>
          <w:tcPr>
            <w:tcW w:type="dxa" w:w="3408"/>
            <w:vAlign w:val="center"/>
          </w:tcPr>
          <w:p>
            <w:r>
              <w:t>Open governance question, not added</w:t>
            </w:r>
          </w:p>
        </w:tc>
      </w:tr>
      <w:tr>
        <w:tc>
          <w:tcPr>
            <w:tcW w:type="dxa" w:w="3408"/>
            <w:vAlign w:val="center"/>
          </w:tcPr>
          <w:p>
            <w:r>
              <w:t>Technical / Data / Platform</w:t>
            </w:r>
          </w:p>
        </w:tc>
        <w:tc>
          <w:tcPr>
            <w:tcW w:type="dxa" w:w="3408"/>
            <w:vAlign w:val="center"/>
          </w:tcPr>
          <w:p>
            <w:r>
              <w:t>Supports capture, classification, data quality, integration and operational feasibility.</w:t>
            </w:r>
          </w:p>
        </w:tc>
        <w:tc>
          <w:tcPr>
            <w:tcW w:type="dxa" w:w="3408"/>
            <w:vAlign w:val="center"/>
          </w:tcPr>
          <w:p>
            <w:r>
              <w:t>Delivery dependency, ownership TBD</w:t>
            </w:r>
          </w:p>
        </w:tc>
      </w:tr>
    </w:tbl>
    <w:p>
      <w:pPr>
        <w:pStyle w:val="Heading1"/>
      </w:pPr>
      <w:r>
        <w:t>8. Stricter Progression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</w:tcPr>
          <w:p>
            <w:r>
              <w:rPr>
                <w:b/>
              </w:rPr>
              <w:t>Gate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Required before F03 can progress beyond gated translation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Problem validation</w:t>
            </w:r>
          </w:p>
        </w:tc>
        <w:tc>
          <w:tcPr>
            <w:tcW w:type="dxa" w:w="5112"/>
            <w:vAlign w:val="center"/>
          </w:tcPr>
          <w:p>
            <w:r>
              <w:t>Confirm the user problem and meaningful plant-health use cases.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Identification boundary</w:t>
            </w:r>
          </w:p>
        </w:tc>
        <w:tc>
          <w:tcPr>
            <w:tcW w:type="dxa" w:w="5112"/>
            <w:vAlign w:val="center"/>
          </w:tcPr>
          <w:p>
            <w:r>
              <w:t>Define what EcoGrow can classify, what remains unknown, and what must be escalated.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Evidence and accuracy</w:t>
            </w:r>
          </w:p>
        </w:tc>
        <w:tc>
          <w:tcPr>
            <w:tcW w:type="dxa" w:w="5112"/>
            <w:vAlign w:val="center"/>
          </w:tcPr>
          <w:p>
            <w:r>
              <w:t>Define the evidence standard and acceptable classification confidence.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Governance</w:t>
            </w:r>
          </w:p>
        </w:tc>
        <w:tc>
          <w:tcPr>
            <w:tcW w:type="dxa" w:w="5112"/>
            <w:vAlign w:val="center"/>
          </w:tcPr>
          <w:p>
            <w:r>
              <w:t>Define who validates plant-health rules and content.</w:t>
            </w:r>
          </w:p>
        </w:tc>
      </w:tr>
      <w:tr>
        <w:tc>
          <w:tcPr>
            <w:tcW w:type="dxa" w:w="5112"/>
            <w:vAlign w:val="center"/>
          </w:tcPr>
          <w:p>
            <w:r>
              <w:t>Safety boundary</w:t>
            </w:r>
          </w:p>
        </w:tc>
        <w:tc>
          <w:tcPr>
            <w:tcW w:type="dxa" w:w="5112"/>
            <w:vAlign w:val="center"/>
          </w:tcPr>
          <w:p>
            <w:r>
              <w:t>Define allowed, disallowed and escalated guidance.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Specialist expertise</w:t>
            </w:r>
          </w:p>
        </w:tc>
        <w:tc>
          <w:tcPr>
            <w:tcW w:type="dxa" w:w="5112"/>
            <w:vAlign w:val="center"/>
          </w:tcPr>
          <w:p>
            <w:r>
              <w:t>Determine when horticulture expertise is sufficient and when specialist plant-protection expertise is required.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Uncertainty and escalation</w:t>
            </w:r>
          </w:p>
        </w:tc>
        <w:tc>
          <w:tcPr>
            <w:tcW w:type="dxa" w:w="5112"/>
            <w:vAlign w:val="center"/>
          </w:tcPr>
          <w:p>
            <w:r>
              <w:t>Define the safe response for low-confidence, unknown or potentially harmful cases.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Privacy</w:t>
            </w:r>
          </w:p>
        </w:tc>
        <w:tc>
          <w:tcPr>
            <w:tcW w:type="dxa" w:w="5112"/>
            <w:vAlign w:val="center"/>
          </w:tcPr>
          <w:p>
            <w:r>
              <w:t>Define acceptable handling of symptoms, images and user context.</w:t>
            </w:r>
          </w:p>
        </w:tc>
      </w:tr>
      <w:tr>
        <w:tc>
          <w:tcPr>
            <w:tcW w:type="dxa" w:w="5112"/>
            <w:vAlign w:val="center"/>
          </w:tcPr>
          <w:p>
            <w:r>
              <w:t>Acceptance logic</w:t>
            </w:r>
          </w:p>
        </w:tc>
        <w:tc>
          <w:tcPr>
            <w:tcW w:type="dxa" w:w="5112"/>
            <w:vAlign w:val="center"/>
          </w:tcPr>
          <w:p>
            <w:r>
              <w:t>Only after the above are resolved can testable acceptance criteria be written.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Value and priority</w:t>
            </w:r>
          </w:p>
        </w:tc>
        <w:tc>
          <w:tcPr>
            <w:tcW w:type="dxa" w:w="5112"/>
            <w:vAlign w:val="center"/>
          </w:tcPr>
          <w:p>
            <w:r>
              <w:t>GreenSphere makes an evidence-based decision on whether F03 should progress.</w:t>
            </w:r>
          </w:p>
        </w:tc>
      </w:tr>
    </w:tbl>
    <w:p>
      <w:pPr>
        <w:pStyle w:val="Heading1"/>
      </w:pPr>
      <w:r>
        <w:t>9. Pass 3 Decision</w:t>
      </w:r>
    </w:p>
    <w:p>
      <w:r>
        <w:t>Pass 3 establishes a controlled gated delivery structure for EPIC-F03 without authorising Jira creation. Formal future requirement IDs, story IDs and acceptance criteria remain deferred because the stricter progression bar is not yet closed.</w:t>
      </w:r>
    </w:p>
    <w:p>
      <w:r>
        <w:t>No Story Points, Bugs, Sprint results or delivery claims are created in this pass. The next real progression decision depends on evidence, safety, governance, specialist and escalation questions being sufficiently resolved.</w:t>
      </w:r>
    </w:p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EcoGrow Future-State Discovery | EPIC-F03 | Pass 3 | Doris Frank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