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EcoGrow Future-State Discovery</w:t>
        <w:br/>
        <w:t>EPIC-F03 Plant Health and Protection | Pass 5 Portfolio Packaging</w:t>
      </w:r>
    </w:p>
    <w:p>
      <w:pPr>
        <w:jc w:val="center"/>
      </w:pPr>
      <w:r>
        <w:rPr>
          <w:b/>
        </w:rPr>
        <w:t>Prepared by Doris Frank, Business Analyst</w:t>
      </w:r>
    </w:p>
    <w:p>
      <w:pPr>
        <w:jc w:val="center"/>
      </w:pPr>
      <w:r>
        <w:t>Status: Final portfolio packaging of a constrained future-state discovery track</w:t>
      </w:r>
    </w:p>
    <w:p>
      <w:pPr>
        <w:pStyle w:val="Heading1"/>
      </w:pPr>
      <w:r>
        <w:t>1. Portfolio Position</w:t>
      </w:r>
    </w:p>
    <w:p>
      <w:r>
        <w:t xml:space="preserve">F03 is packaged as a high-governance future-state capability, not as an approved product commitment. </w:t>
      </w:r>
      <w:r>
        <w:rPr>
          <w:i/>
        </w:rPr>
        <w:t>I deliberately stopped translation at the point where further progression would require real product, evidence, privacy, safety and specialist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vAlign w:val="center"/>
          </w:tcPr>
          <w:p>
            <w:r>
              <w:t>Item</w:t>
            </w:r>
          </w:p>
        </w:tc>
        <w:tc>
          <w:tcPr>
            <w:tcW w:type="dxa" w:w="5184"/>
            <w:vAlign w:val="center"/>
          </w:tcPr>
          <w:p>
            <w:r>
              <w:t>Final position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t>Epic</w:t>
            </w:r>
          </w:p>
        </w:tc>
        <w:tc>
          <w:tcPr>
            <w:tcW w:type="dxa" w:w="5184"/>
            <w:vAlign w:val="center"/>
          </w:tcPr>
          <w:p>
            <w:r>
              <w:t>EPIC-F03 Plant Health and Protection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t>Features</w:t>
            </w:r>
          </w:p>
        </w:tc>
        <w:tc>
          <w:tcPr>
            <w:tcW w:type="dxa" w:w="5184"/>
            <w:vAlign w:val="center"/>
          </w:tcPr>
          <w:p>
            <w:r>
              <w:t>F03.1 Plant-Health Symptom Capture; F03.2 Plant-Health Classification; F03.3 Protection Guidance; F03.4 Treatment Guidance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t>Future requirement IDs</w:t>
            </w:r>
          </w:p>
        </w:tc>
        <w:tc>
          <w:tcPr>
            <w:tcW w:type="dxa" w:w="5184"/>
            <w:vAlign w:val="center"/>
          </w:tcPr>
          <w:p>
            <w:r>
              <w:t>None assigned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t>Future story IDs</w:t>
            </w:r>
          </w:p>
        </w:tc>
        <w:tc>
          <w:tcPr>
            <w:tcW w:type="dxa" w:w="5184"/>
            <w:vAlign w:val="center"/>
          </w:tcPr>
          <w:p>
            <w:r>
              <w:t>None assigned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t>Jira</w:t>
            </w:r>
          </w:p>
        </w:tc>
        <w:tc>
          <w:tcPr>
            <w:tcW w:type="dxa" w:w="5184"/>
            <w:vAlign w:val="center"/>
          </w:tcPr>
          <w:p>
            <w:r>
              <w:t>Not authorised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t>Story Points / Bugs</w:t>
            </w:r>
          </w:p>
        </w:tc>
        <w:tc>
          <w:tcPr>
            <w:tcW w:type="dxa" w:w="5184"/>
            <w:vAlign w:val="center"/>
          </w:tcPr>
          <w:p>
            <w:r>
              <w:t>None created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t>Delivery state</w:t>
            </w:r>
          </w:p>
        </w:tc>
        <w:tc>
          <w:tcPr>
            <w:tcW w:type="dxa" w:w="5184"/>
            <w:vAlign w:val="center"/>
          </w:tcPr>
          <w:p>
            <w:r>
              <w:t>Gated discovery, not approved delivery</w:t>
            </w:r>
          </w:p>
        </w:tc>
      </w:tr>
    </w:tbl>
    <w:p>
      <w:pPr>
        <w:pStyle w:val="Heading1"/>
      </w:pPr>
      <w:r>
        <w:t>2. Executive Story</w:t>
      </w:r>
    </w:p>
    <w:p>
      <w:r>
        <w:t>The F03 track shows how I would handle a plant-health capability where incorrect classification or treatment advice could create real harm. I established the capability structure, preserved the boundary between identification, protection and treatment, and kept unresolved decisions visible instead of filling them with assumptions.</w:t>
      </w:r>
    </w:p>
    <w:p>
      <w:pPr>
        <w:pStyle w:val="Heading1"/>
      </w:pPr>
      <w:r>
        <w:t>3. Cross-Epic Progression Signal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456"/>
            <w:vAlign w:val="center"/>
          </w:tcPr>
          <w:p>
            <w:r>
              <w:t>Epic</w:t>
            </w:r>
          </w:p>
        </w:tc>
        <w:tc>
          <w:tcPr>
            <w:tcW w:type="dxa" w:w="3456"/>
            <w:vAlign w:val="center"/>
          </w:tcPr>
          <w:p>
            <w:r>
              <w:t>Translation posture</w:t>
            </w:r>
          </w:p>
        </w:tc>
        <w:tc>
          <w:tcPr>
            <w:tcW w:type="dxa" w:w="3456"/>
            <w:vAlign w:val="center"/>
          </w:tcPr>
          <w:p>
            <w:r>
              <w:t>Reason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t>F01 Smart Plant Care</w:t>
            </w:r>
          </w:p>
        </w:tc>
        <w:tc>
          <w:tcPr>
            <w:tcW w:type="dxa" w:w="3456"/>
            <w:vAlign w:val="center"/>
          </w:tcPr>
          <w:p>
            <w:r>
              <w:t>Candidate requirements and story direction could be translated</w:t>
            </w:r>
          </w:p>
        </w:tc>
        <w:tc>
          <w:tcPr>
            <w:tcW w:type="dxa" w:w="3456"/>
            <w:vAlign w:val="center"/>
          </w:tcPr>
          <w:p>
            <w:r>
              <w:t>Lower discovery risk and clearer content boundary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t>F02 Weather-Aware Gardening</w:t>
            </w:r>
          </w:p>
        </w:tc>
        <w:tc>
          <w:tcPr>
            <w:tcW w:type="dxa" w:w="3456"/>
            <w:vAlign w:val="center"/>
          </w:tcPr>
          <w:p>
            <w:r>
              <w:t>Requirements and story IDs withheld</w:t>
            </w:r>
          </w:p>
        </w:tc>
        <w:tc>
          <w:tcPr>
            <w:tcW w:type="dxa" w:w="3456"/>
            <w:vAlign w:val="center"/>
          </w:tcPr>
          <w:p>
            <w:r>
              <w:t>Location, privacy, external data and weather-rule uncertainty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r>
              <w:t>F03 Plant Health and Protection</w:t>
            </w:r>
          </w:p>
        </w:tc>
        <w:tc>
          <w:tcPr>
            <w:tcW w:type="dxa" w:w="3456"/>
            <w:vAlign w:val="center"/>
          </w:tcPr>
          <w:p>
            <w:r>
              <w:t>Constrained translation only</w:t>
            </w:r>
          </w:p>
        </w:tc>
        <w:tc>
          <w:tcPr>
            <w:tcW w:type="dxa" w:w="3456"/>
            <w:vAlign w:val="center"/>
          </w:tcPr>
          <w:p>
            <w:r>
              <w:t>Higher safety, evidence, privacy, specialist and treatment risk</w:t>
            </w:r>
          </w:p>
        </w:tc>
      </w:tr>
    </w:tbl>
    <w:p>
      <w:pPr>
        <w:pStyle w:val="Heading1"/>
      </w:pPr>
      <w:r>
        <w:t>4. Governance and Safety Signal</w:t>
      </w:r>
    </w:p>
    <w:p>
      <w:r>
        <w:t xml:space="preserve">I kept F03 governance separate from the F01 content-authority question and the F02 weather governance question. </w:t>
      </w:r>
      <w:r>
        <w:rPr>
          <w:i/>
        </w:rPr>
        <w:t>The Plant Science / Horticulture SME remains a future governance dependency. Specialist Plant Protection / Pest Management remains an open governance question. GreenSphere value and priority remains a decision gate.</w:t>
      </w:r>
    </w:p>
    <w:p>
      <w:pPr>
        <w:pStyle w:val="Heading1"/>
      </w:pPr>
      <w:r>
        <w:t>5. Ten-Gate Progression Bar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vAlign w:val="center"/>
          </w:tcPr>
          <w:p>
            <w:r>
              <w:t>Gate</w:t>
            </w:r>
          </w:p>
        </w:tc>
        <w:tc>
          <w:tcPr>
            <w:tcW w:type="dxa" w:w="5184"/>
            <w:vAlign w:val="center"/>
          </w:tcPr>
          <w:p>
            <w:r>
              <w:t>Portfolio status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t>Problem validation</w:t>
            </w:r>
          </w:p>
        </w:tc>
        <w:tc>
          <w:tcPr>
            <w:tcW w:type="dxa" w:w="5184"/>
            <w:vAlign w:val="center"/>
          </w:tcPr>
          <w:p>
            <w:r>
              <w:t>Open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t>Identification boundary</w:t>
            </w:r>
          </w:p>
        </w:tc>
        <w:tc>
          <w:tcPr>
            <w:tcW w:type="dxa" w:w="5184"/>
            <w:vAlign w:val="center"/>
          </w:tcPr>
          <w:p>
            <w:r>
              <w:t>Open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t>Evidence and accuracy</w:t>
            </w:r>
          </w:p>
        </w:tc>
        <w:tc>
          <w:tcPr>
            <w:tcW w:type="dxa" w:w="5184"/>
            <w:vAlign w:val="center"/>
          </w:tcPr>
          <w:p>
            <w:r>
              <w:t>Open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t>Governance</w:t>
            </w:r>
          </w:p>
        </w:tc>
        <w:tc>
          <w:tcPr>
            <w:tcW w:type="dxa" w:w="5184"/>
            <w:vAlign w:val="center"/>
          </w:tcPr>
          <w:p>
            <w:r>
              <w:t>Open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t>Safety boundary</w:t>
            </w:r>
          </w:p>
        </w:tc>
        <w:tc>
          <w:tcPr>
            <w:tcW w:type="dxa" w:w="5184"/>
            <w:vAlign w:val="center"/>
          </w:tcPr>
          <w:p>
            <w:r>
              <w:t>Open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t>Specialist expertise</w:t>
            </w:r>
          </w:p>
        </w:tc>
        <w:tc>
          <w:tcPr>
            <w:tcW w:type="dxa" w:w="5184"/>
            <w:vAlign w:val="center"/>
          </w:tcPr>
          <w:p>
            <w:r>
              <w:t>Open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t>Uncertainty and escalation</w:t>
            </w:r>
          </w:p>
        </w:tc>
        <w:tc>
          <w:tcPr>
            <w:tcW w:type="dxa" w:w="5184"/>
            <w:vAlign w:val="center"/>
          </w:tcPr>
          <w:p>
            <w:r>
              <w:t>Open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t>Privacy</w:t>
            </w:r>
          </w:p>
        </w:tc>
        <w:tc>
          <w:tcPr>
            <w:tcW w:type="dxa" w:w="5184"/>
            <w:vAlign w:val="center"/>
          </w:tcPr>
          <w:p>
            <w:r>
              <w:t>Open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t>Acceptance logic</w:t>
            </w:r>
          </w:p>
        </w:tc>
        <w:tc>
          <w:tcPr>
            <w:tcW w:type="dxa" w:w="5184"/>
            <w:vAlign w:val="center"/>
          </w:tcPr>
          <w:p>
            <w:r>
              <w:t>Blocked until preceding gates resolve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t>Value and priority</w:t>
            </w:r>
          </w:p>
        </w:tc>
        <w:tc>
          <w:tcPr>
            <w:tcW w:type="dxa" w:w="5184"/>
            <w:vAlign w:val="center"/>
          </w:tcPr>
          <w:p>
            <w:r>
              <w:t>Decision required</w:t>
            </w:r>
          </w:p>
        </w:tc>
      </w:tr>
    </w:tbl>
    <w:p>
      <w:pPr>
        <w:pStyle w:val="Heading1"/>
      </w:pPr>
      <w:r>
        <w:t>6. Evidence Boundary</w:t>
      </w:r>
    </w:p>
    <w:p>
      <w:r>
        <w:t>This package represents discovery and requirements-engineering work only. It does not claim plant-health model accuracy, SME approval, product acceptance, production use, build completion, testing, Story Points, Bugs, sprint outcomes or realised business benefits.</w:t>
      </w:r>
    </w:p>
    <w:p>
      <w:pPr>
        <w:pStyle w:val="Heading1"/>
      </w:pPr>
      <w:r>
        <w:t>7. Portfolio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5184"/>
            <w:vAlign w:val="center"/>
          </w:tcPr>
          <w:p>
            <w:r>
              <w:t>Source</w:t>
            </w:r>
          </w:p>
        </w:tc>
        <w:tc>
          <w:tcPr>
            <w:tcW w:type="dxa" w:w="5184"/>
            <w:vAlign w:val="center"/>
          </w:tcPr>
          <w:p>
            <w:r>
              <w:t>Packaging use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t>Vision and Capability Map</w:t>
            </w:r>
          </w:p>
        </w:tc>
        <w:tc>
          <w:tcPr>
            <w:tcW w:type="dxa" w:w="5184"/>
            <w:vAlign w:val="center"/>
          </w:tcPr>
          <w:p>
            <w:r>
              <w:t>Confirms F03 future epic boundary and stronger safety governance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t>Pass 2 Deep Discovery</w:t>
            </w:r>
          </w:p>
        </w:tc>
        <w:tc>
          <w:tcPr>
            <w:tcW w:type="dxa" w:w="5184"/>
            <w:vAlign w:val="center"/>
          </w:tcPr>
          <w:p>
            <w:r>
              <w:t>Source for F03 features, hypotheses, governance questions and progression gate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t>Pass 3 Delivery Translation</w:t>
            </w:r>
          </w:p>
        </w:tc>
        <w:tc>
          <w:tcPr>
            <w:tcW w:type="dxa" w:w="5184"/>
            <w:vAlign w:val="center"/>
          </w:tcPr>
          <w:p>
            <w:r>
              <w:t>Source for constrained translation and unassigned requirement/story levels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r>
              <w:t>Pass 4 Cross-Artifact QA</w:t>
            </w:r>
          </w:p>
        </w:tc>
        <w:tc>
          <w:tcPr>
            <w:tcW w:type="dxa" w:w="5184"/>
            <w:vAlign w:val="center"/>
          </w:tcPr>
          <w:p>
            <w:r>
              <w:t>Independent QA of Pass 3 against Pass 2 and governance rules</w:t>
            </w:r>
          </w:p>
        </w:tc>
      </w:tr>
    </w:tbl>
    <w:p>
      <w:pPr>
        <w:pStyle w:val="Heading1"/>
      </w:pPr>
      <w:r>
        <w:t>8. Recruiter-Facing Signal</w:t>
      </w:r>
    </w:p>
    <w:p>
      <w:r>
        <w:t>I would present F03 as evidence of senior BA judgement: I can structure a sensitive capability, preserve clear boundaries, identify the roles and decisions required, and deliberately stop delivery translation when the available authority is not sufficient. The strength is the governance reasoning, not a claim that an unbuilt feature was delivered.</w:t>
      </w:r>
    </w:p>
    <w:p>
      <w:pPr>
        <w:pStyle w:val="Heading1"/>
      </w:pPr>
      <w:r>
        <w:t>9. Final Packaging Decision</w:t>
      </w:r>
    </w:p>
    <w:p>
      <w:r>
        <w:t>F03 is portfolio-complete as a future-state discovery package, but it is not delivery-ready. Pass 5 packages the work without upgrading discovery assumptions into approved requirements or delivery evidence. Any future progression should begin by resolving the ten-gate bar and then independently re-assessing readiness.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EcoGrow Future-State Discovery | EPIC-F03 | Pass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EcoGrow EPIC-F03 Portfolio Packaging Pass 5</dc:title>
  <dc:subject>Future-State Discovery</dc:subject>
  <dc:creator>Doris Frank</dc:creator>
  <cp:keywords>EcoGrow, EPIC-F03, Plant Health and Protection, Business Analysis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