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EcoGrow Future-State Discovery</w:t>
      </w:r>
    </w:p>
    <w:p>
      <w:pPr>
        <w:pStyle w:val="Title"/>
        <w:jc w:val="center"/>
      </w:pPr>
      <w:r>
        <w:t>EPIC-F04 Global Plant Intelligence | Cross-Artifact QA | Pass 4</w:t>
      </w:r>
    </w:p>
    <w:p>
      <w:pPr>
        <w:jc w:val="center"/>
      </w:pPr>
      <w:r>
        <w:rPr>
          <w:i/>
          <w:sz w:val="18"/>
        </w:rPr>
        <w:t>Prepared by Doris Frank, Business Analyst</w:t>
      </w:r>
    </w:p>
    <w:p>
      <w:pPr>
        <w:jc w:val="center"/>
      </w:pPr>
      <w:r>
        <w:rPr>
          <w:b/>
          <w:sz w:val="18"/>
        </w:rPr>
        <w:t>Status: Independent cross-artifact QA of Pass 2 and Pass 3. Future-state discovery only.</w:t>
      </w:r>
    </w:p>
    <w:p>
      <w:pPr>
        <w:pStyle w:val="Heading1"/>
      </w:pPr>
      <w:r>
        <w:t>1. QA Control</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4F0"/>
          </w:tcPr>
          <w:p>
            <w:r/>
            <w:r>
              <w:rPr>
                <w:rFonts w:ascii="Aptos" w:hAnsi="Aptos"/>
                <w:b/>
                <w:sz w:val="17"/>
              </w:rPr>
              <w:t>Dimension</w:t>
            </w:r>
          </w:p>
        </w:tc>
        <w:tc>
          <w:tcPr>
            <w:tcW w:type="dxa" w:w="5141"/>
            <w:vAlign w:val="center"/>
            <w:shd w:fill="D9E4F0"/>
          </w:tcPr>
          <w:p>
            <w:r/>
            <w:r>
              <w:rPr>
                <w:rFonts w:ascii="Aptos" w:hAnsi="Aptos"/>
                <w:b/>
                <w:sz w:val="17"/>
              </w:rPr>
              <w:t>QA position</w:t>
            </w:r>
          </w:p>
        </w:tc>
      </w:tr>
      <w:tr>
        <w:tc>
          <w:tcPr>
            <w:tcW w:type="dxa" w:w="5141"/>
            <w:vAlign w:val="center"/>
          </w:tcPr>
          <w:p>
            <w:r/>
            <w:r>
              <w:rPr>
                <w:rFonts w:ascii="Aptos" w:hAnsi="Aptos"/>
                <w:b w:val="0"/>
                <w:sz w:val="17"/>
              </w:rPr>
              <w:t>Epic</w:t>
            </w:r>
          </w:p>
        </w:tc>
        <w:tc>
          <w:tcPr>
            <w:tcW w:type="dxa" w:w="5141"/>
            <w:vAlign w:val="center"/>
          </w:tcPr>
          <w:p>
            <w:r/>
            <w:r>
              <w:rPr>
                <w:rFonts w:ascii="Aptos" w:hAnsi="Aptos"/>
                <w:b w:val="0"/>
                <w:sz w:val="17"/>
              </w:rPr>
              <w:t>EPIC-F04 Global Plant Intelligence</w:t>
            </w:r>
          </w:p>
        </w:tc>
      </w:tr>
      <w:tr>
        <w:tc>
          <w:tcPr>
            <w:tcW w:type="dxa" w:w="5141"/>
            <w:vAlign w:val="center"/>
          </w:tcPr>
          <w:p>
            <w:r/>
            <w:r>
              <w:rPr>
                <w:rFonts w:ascii="Aptos" w:hAnsi="Aptos"/>
                <w:b w:val="0"/>
                <w:sz w:val="17"/>
              </w:rPr>
              <w:t>Pass 2 source</w:t>
            </w:r>
          </w:p>
        </w:tc>
        <w:tc>
          <w:tcPr>
            <w:tcW w:type="dxa" w:w="5141"/>
            <w:vAlign w:val="center"/>
          </w:tcPr>
          <w:p>
            <w:r/>
            <w:r>
              <w:rPr>
                <w:rFonts w:ascii="Aptos" w:hAnsi="Aptos"/>
                <w:b w:val="0"/>
                <w:sz w:val="17"/>
              </w:rPr>
              <w:t>EcoGrow_EPIC-F04_Deep_Discovery_Pass2.docx</w:t>
            </w:r>
          </w:p>
        </w:tc>
      </w:tr>
      <w:tr>
        <w:tc>
          <w:tcPr>
            <w:tcW w:type="dxa" w:w="5141"/>
            <w:vAlign w:val="center"/>
          </w:tcPr>
          <w:p>
            <w:r/>
            <w:r>
              <w:rPr>
                <w:rFonts w:ascii="Aptos" w:hAnsi="Aptos"/>
                <w:b w:val="0"/>
                <w:sz w:val="17"/>
              </w:rPr>
              <w:t>Pass 3 source</w:t>
            </w:r>
          </w:p>
        </w:tc>
        <w:tc>
          <w:tcPr>
            <w:tcW w:type="dxa" w:w="5141"/>
            <w:vAlign w:val="center"/>
          </w:tcPr>
          <w:p>
            <w:r/>
            <w:r>
              <w:rPr>
                <w:rFonts w:ascii="Aptos" w:hAnsi="Aptos"/>
                <w:b w:val="0"/>
                <w:sz w:val="17"/>
              </w:rPr>
              <w:t>EcoGrow_EPIC-F04_Delivery_Translation_Pass3.docx</w:t>
            </w:r>
          </w:p>
        </w:tc>
      </w:tr>
      <w:tr>
        <w:tc>
          <w:tcPr>
            <w:tcW w:type="dxa" w:w="5141"/>
            <w:vAlign w:val="center"/>
          </w:tcPr>
          <w:p>
            <w:r/>
            <w:r>
              <w:rPr>
                <w:rFonts w:ascii="Aptos" w:hAnsi="Aptos"/>
                <w:b w:val="0"/>
                <w:sz w:val="17"/>
              </w:rPr>
              <w:t>Primary cross-source baseline</w:t>
            </w:r>
          </w:p>
        </w:tc>
        <w:tc>
          <w:tcPr>
            <w:tcW w:type="dxa" w:w="5141"/>
            <w:vAlign w:val="center"/>
          </w:tcPr>
          <w:p>
            <w:r/>
            <w:r>
              <w:rPr>
                <w:rFonts w:ascii="Aptos" w:hAnsi="Aptos"/>
                <w:b w:val="0"/>
                <w:sz w:val="17"/>
              </w:rPr>
              <w:t>00_Product_Vision_and_Capability_Map_REVALIDATED_FINAL.docx</w:t>
            </w:r>
          </w:p>
        </w:tc>
      </w:tr>
      <w:tr>
        <w:tc>
          <w:tcPr>
            <w:tcW w:type="dxa" w:w="5141"/>
            <w:vAlign w:val="center"/>
          </w:tcPr>
          <w:p>
            <w:r/>
            <w:r>
              <w:rPr>
                <w:rFonts w:ascii="Aptos" w:hAnsi="Aptos"/>
                <w:b w:val="0"/>
                <w:sz w:val="17"/>
              </w:rPr>
              <w:t>Cross-epic references</w:t>
            </w:r>
          </w:p>
        </w:tc>
        <w:tc>
          <w:tcPr>
            <w:tcW w:type="dxa" w:w="5141"/>
            <w:vAlign w:val="center"/>
          </w:tcPr>
          <w:p>
            <w:r/>
            <w:r>
              <w:rPr>
                <w:rFonts w:ascii="Aptos" w:hAnsi="Aptos"/>
                <w:b w:val="0"/>
                <w:sz w:val="17"/>
              </w:rPr>
              <w:t>F01, F02 and F03 future-state portfolio packages</w:t>
            </w:r>
          </w:p>
        </w:tc>
      </w:tr>
      <w:tr>
        <w:tc>
          <w:tcPr>
            <w:tcW w:type="dxa" w:w="5141"/>
            <w:vAlign w:val="center"/>
          </w:tcPr>
          <w:p>
            <w:r/>
            <w:r>
              <w:rPr>
                <w:rFonts w:ascii="Aptos" w:hAnsi="Aptos"/>
                <w:b w:val="0"/>
                <w:sz w:val="17"/>
              </w:rPr>
              <w:t>QA purpose</w:t>
            </w:r>
          </w:p>
        </w:tc>
        <w:tc>
          <w:tcPr>
            <w:tcW w:type="dxa" w:w="5141"/>
            <w:vAlign w:val="center"/>
          </w:tcPr>
          <w:p>
            <w:r/>
            <w:r>
              <w:rPr>
                <w:rFonts w:ascii="Aptos" w:hAnsi="Aptos"/>
                <w:b w:val="0"/>
                <w:sz w:val="17"/>
              </w:rPr>
              <w:t>Check terminology, scope, IDs, gates, governance and delivery boundaries</w:t>
            </w:r>
          </w:p>
        </w:tc>
      </w:tr>
      <w:tr>
        <w:tc>
          <w:tcPr>
            <w:tcW w:type="dxa" w:w="5141"/>
            <w:vAlign w:val="center"/>
          </w:tcPr>
          <w:p>
            <w:r/>
            <w:r>
              <w:rPr>
                <w:rFonts w:ascii="Aptos" w:hAnsi="Aptos"/>
                <w:b w:val="0"/>
                <w:sz w:val="17"/>
              </w:rPr>
              <w:t>QA decision</w:t>
            </w:r>
          </w:p>
        </w:tc>
        <w:tc>
          <w:tcPr>
            <w:tcW w:type="dxa" w:w="5141"/>
            <w:vAlign w:val="center"/>
          </w:tcPr>
          <w:p>
            <w:r/>
            <w:r>
              <w:rPr>
                <w:rFonts w:ascii="Aptos" w:hAnsi="Aptos"/>
                <w:b w:val="0"/>
                <w:sz w:val="17"/>
              </w:rPr>
              <w:t>PASS</w:t>
            </w:r>
          </w:p>
        </w:tc>
      </w:tr>
    </w:tbl>
    <w:p/>
    <w:p>
      <w:pPr>
        <w:pStyle w:val="Heading1"/>
      </w:pPr>
      <w:r>
        <w:t>2. Source Set Revalidation</w:t>
      </w:r>
    </w:p>
    <w:p>
      <w:r>
        <w:t>I revalidated F04 against its actual Pass 2 and Pass 3 files, the revalidated Vision and Capability Map, and the established F01, F02 and F03 portfolio positions. The review preserves source terminology and keeps cross-epic differences visible.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4F0"/>
          </w:tcPr>
          <w:p>
            <w:r/>
            <w:r>
              <w:rPr>
                <w:rFonts w:ascii="Aptos" w:hAnsi="Aptos"/>
                <w:b/>
                <w:sz w:val="17"/>
              </w:rPr>
              <w:t>Source</w:t>
            </w:r>
          </w:p>
        </w:tc>
        <w:tc>
          <w:tcPr>
            <w:tcW w:type="dxa" w:w="3427"/>
            <w:vAlign w:val="center"/>
            <w:shd w:fill="D9E4F0"/>
          </w:tcPr>
          <w:p>
            <w:r/>
            <w:r>
              <w:rPr>
                <w:rFonts w:ascii="Aptos" w:hAnsi="Aptos"/>
                <w:b/>
                <w:sz w:val="17"/>
              </w:rPr>
              <w:t>QA use</w:t>
            </w:r>
          </w:p>
        </w:tc>
        <w:tc>
          <w:tcPr>
            <w:tcW w:type="dxa" w:w="3427"/>
            <w:vAlign w:val="center"/>
            <w:shd w:fill="D9E4F0"/>
          </w:tcPr>
          <w:p>
            <w:r/>
            <w:r>
              <w:rPr>
                <w:rFonts w:ascii="Aptos" w:hAnsi="Aptos"/>
                <w:b/>
                <w:sz w:val="17"/>
              </w:rPr>
              <w:t>Result</w:t>
            </w:r>
          </w:p>
        </w:tc>
      </w:tr>
      <w:tr>
        <w:tc>
          <w:tcPr>
            <w:tcW w:type="dxa" w:w="3427"/>
            <w:vAlign w:val="center"/>
          </w:tcPr>
          <w:p>
            <w:r/>
            <w:r>
              <w:rPr>
                <w:rFonts w:ascii="Aptos" w:hAnsi="Aptos"/>
                <w:b w:val="0"/>
                <w:sz w:val="17"/>
              </w:rPr>
              <w:t>Vision &amp; Capability Map | Revalidated Scope</w:t>
            </w:r>
          </w:p>
        </w:tc>
        <w:tc>
          <w:tcPr>
            <w:tcW w:type="dxa" w:w="3427"/>
            <w:vAlign w:val="center"/>
          </w:tcPr>
          <w:p>
            <w:r/>
            <w:r>
              <w:rPr>
                <w:rFonts w:ascii="Aptos" w:hAnsi="Aptos"/>
                <w:b w:val="0"/>
                <w:sz w:val="17"/>
              </w:rPr>
              <w:t>F04 purpose, boundaries and six-epic structure</w:t>
            </w:r>
          </w:p>
        </w:tc>
        <w:tc>
          <w:tcPr>
            <w:tcW w:type="dxa" w:w="3427"/>
            <w:vAlign w:val="center"/>
          </w:tcPr>
          <w:p>
            <w:r/>
            <w:r>
              <w:rPr>
                <w:rFonts w:ascii="Aptos" w:hAnsi="Aptos"/>
                <w:b w:val="0"/>
                <w:sz w:val="17"/>
              </w:rPr>
              <w:t>Aligned</w:t>
            </w:r>
          </w:p>
        </w:tc>
      </w:tr>
      <w:tr>
        <w:tc>
          <w:tcPr>
            <w:tcW w:type="dxa" w:w="3427"/>
            <w:vAlign w:val="center"/>
          </w:tcPr>
          <w:p>
            <w:r/>
            <w:r>
              <w:rPr>
                <w:rFonts w:ascii="Aptos" w:hAnsi="Aptos"/>
                <w:b w:val="0"/>
                <w:sz w:val="17"/>
              </w:rPr>
              <w:t>F04 Pass 2</w:t>
            </w:r>
          </w:p>
        </w:tc>
        <w:tc>
          <w:tcPr>
            <w:tcW w:type="dxa" w:w="3427"/>
            <w:vAlign w:val="center"/>
          </w:tcPr>
          <w:p>
            <w:r/>
            <w:r>
              <w:rPr>
                <w:rFonts w:ascii="Aptos" w:hAnsi="Aptos"/>
                <w:b w:val="0"/>
                <w:sz w:val="17"/>
              </w:rPr>
              <w:t>Feature names, discovery questions, NFR themes and nine gates</w:t>
            </w:r>
          </w:p>
        </w:tc>
        <w:tc>
          <w:tcPr>
            <w:tcW w:type="dxa" w:w="3427"/>
            <w:vAlign w:val="center"/>
          </w:tcPr>
          <w:p>
            <w:r/>
            <w:r>
              <w:rPr>
                <w:rFonts w:ascii="Aptos" w:hAnsi="Aptos"/>
                <w:b w:val="0"/>
                <w:sz w:val="17"/>
              </w:rPr>
              <w:t>Aligned</w:t>
            </w:r>
          </w:p>
        </w:tc>
      </w:tr>
      <w:tr>
        <w:tc>
          <w:tcPr>
            <w:tcW w:type="dxa" w:w="3427"/>
            <w:vAlign w:val="center"/>
          </w:tcPr>
          <w:p>
            <w:r/>
            <w:r>
              <w:rPr>
                <w:rFonts w:ascii="Aptos" w:hAnsi="Aptos"/>
                <w:b w:val="0"/>
                <w:sz w:val="17"/>
              </w:rPr>
              <w:t>F04 Pass 3</w:t>
            </w:r>
          </w:p>
        </w:tc>
        <w:tc>
          <w:tcPr>
            <w:tcW w:type="dxa" w:w="3427"/>
            <w:vAlign w:val="center"/>
          </w:tcPr>
          <w:p>
            <w:r/>
            <w:r>
              <w:rPr>
                <w:rFonts w:ascii="Aptos" w:hAnsi="Aptos"/>
                <w:b w:val="0"/>
                <w:sz w:val="17"/>
              </w:rPr>
              <w:t>Translation structure, IDs, governance and DoR</w:t>
            </w:r>
          </w:p>
        </w:tc>
        <w:tc>
          <w:tcPr>
            <w:tcW w:type="dxa" w:w="3427"/>
            <w:vAlign w:val="center"/>
          </w:tcPr>
          <w:p>
            <w:r/>
            <w:r>
              <w:rPr>
                <w:rFonts w:ascii="Aptos" w:hAnsi="Aptos"/>
                <w:b w:val="0"/>
                <w:sz w:val="17"/>
              </w:rPr>
              <w:t>Aligned</w:t>
            </w:r>
          </w:p>
        </w:tc>
      </w:tr>
      <w:tr>
        <w:tc>
          <w:tcPr>
            <w:tcW w:type="dxa" w:w="3427"/>
            <w:vAlign w:val="center"/>
          </w:tcPr>
          <w:p>
            <w:r/>
            <w:r>
              <w:rPr>
                <w:rFonts w:ascii="Aptos" w:hAnsi="Aptos"/>
                <w:b w:val="0"/>
                <w:sz w:val="17"/>
              </w:rPr>
              <w:t>F01 Pass 5</w:t>
            </w:r>
          </w:p>
        </w:tc>
        <w:tc>
          <w:tcPr>
            <w:tcW w:type="dxa" w:w="3427"/>
            <w:vAlign w:val="center"/>
          </w:tcPr>
          <w:p>
            <w:r/>
            <w:r>
              <w:rPr>
                <w:rFonts w:ascii="Aptos" w:hAnsi="Aptos"/>
                <w:b w:val="0"/>
                <w:sz w:val="17"/>
              </w:rPr>
              <w:t>F01 boundary and FR-10, FR-11, US-08 history</w:t>
            </w:r>
          </w:p>
        </w:tc>
        <w:tc>
          <w:tcPr>
            <w:tcW w:type="dxa" w:w="3427"/>
            <w:vAlign w:val="center"/>
          </w:tcPr>
          <w:p>
            <w:r/>
            <w:r>
              <w:rPr>
                <w:rFonts w:ascii="Aptos" w:hAnsi="Aptos"/>
                <w:b w:val="0"/>
                <w:sz w:val="17"/>
              </w:rPr>
              <w:t>No collision</w:t>
            </w:r>
          </w:p>
        </w:tc>
      </w:tr>
      <w:tr>
        <w:tc>
          <w:tcPr>
            <w:tcW w:type="dxa" w:w="3427"/>
            <w:vAlign w:val="center"/>
          </w:tcPr>
          <w:p>
            <w:r/>
            <w:r>
              <w:rPr>
                <w:rFonts w:ascii="Aptos" w:hAnsi="Aptos"/>
                <w:b w:val="0"/>
                <w:sz w:val="17"/>
              </w:rPr>
              <w:t>F02 Pass 5</w:t>
            </w:r>
          </w:p>
        </w:tc>
        <w:tc>
          <w:tcPr>
            <w:tcW w:type="dxa" w:w="3427"/>
            <w:vAlign w:val="center"/>
          </w:tcPr>
          <w:p>
            <w:r/>
            <w:r>
              <w:rPr>
                <w:rFonts w:ascii="Aptos" w:hAnsi="Aptos"/>
                <w:b w:val="0"/>
                <w:sz w:val="17"/>
              </w:rPr>
              <w:t>F02 weather and location boundary</w:t>
            </w:r>
          </w:p>
        </w:tc>
        <w:tc>
          <w:tcPr>
            <w:tcW w:type="dxa" w:w="3427"/>
            <w:vAlign w:val="center"/>
          </w:tcPr>
          <w:p>
            <w:r/>
            <w:r>
              <w:rPr>
                <w:rFonts w:ascii="Aptos" w:hAnsi="Aptos"/>
                <w:b w:val="0"/>
                <w:sz w:val="17"/>
              </w:rPr>
              <w:t>No scope leakage</w:t>
            </w:r>
          </w:p>
        </w:tc>
      </w:tr>
      <w:tr>
        <w:tc>
          <w:tcPr>
            <w:tcW w:type="dxa" w:w="3427"/>
            <w:vAlign w:val="center"/>
          </w:tcPr>
          <w:p>
            <w:r/>
            <w:r>
              <w:rPr>
                <w:rFonts w:ascii="Aptos" w:hAnsi="Aptos"/>
                <w:b w:val="0"/>
                <w:sz w:val="17"/>
              </w:rPr>
              <w:t>F03 Pass 5</w:t>
            </w:r>
          </w:p>
        </w:tc>
        <w:tc>
          <w:tcPr>
            <w:tcW w:type="dxa" w:w="3427"/>
            <w:vAlign w:val="center"/>
          </w:tcPr>
          <w:p>
            <w:r/>
            <w:r>
              <w:rPr>
                <w:rFonts w:ascii="Aptos" w:hAnsi="Aptos"/>
                <w:b w:val="0"/>
                <w:sz w:val="17"/>
              </w:rPr>
              <w:t>F03 safety and specialist boundary</w:t>
            </w:r>
          </w:p>
        </w:tc>
        <w:tc>
          <w:tcPr>
            <w:tcW w:type="dxa" w:w="3427"/>
            <w:vAlign w:val="center"/>
          </w:tcPr>
          <w:p>
            <w:r/>
            <w:r>
              <w:rPr>
                <w:rFonts w:ascii="Aptos" w:hAnsi="Aptos"/>
                <w:b w:val="0"/>
                <w:sz w:val="17"/>
              </w:rPr>
              <w:t>No scope leakage</w:t>
            </w:r>
          </w:p>
        </w:tc>
      </w:tr>
    </w:tbl>
    <w:p/>
    <w:p>
      <w:pPr>
        <w:pStyle w:val="Heading1"/>
      </w:pPr>
      <w:r>
        <w:t>3. Pass 2 to Pass 3 Integrity</w:t>
      </w:r>
    </w:p>
    <w:p>
      <w:r>
        <w:t>The four F04 feature names are preserved exactly across Pass 2 and Pass 3. The two candidate requirement directions and the candidate story direction remain unnumbered. Pass 3 carries the same constrained posture established by Pass 2.</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9E4F0"/>
          </w:tcPr>
          <w:p>
            <w:r/>
            <w:r>
              <w:rPr>
                <w:rFonts w:ascii="Aptos" w:hAnsi="Aptos"/>
                <w:b/>
                <w:sz w:val="17"/>
              </w:rPr>
              <w:t>Pass 2 baseline</w:t>
            </w:r>
          </w:p>
        </w:tc>
        <w:tc>
          <w:tcPr>
            <w:tcW w:type="dxa" w:w="3427"/>
            <w:vAlign w:val="center"/>
            <w:shd w:fill="D9E4F0"/>
          </w:tcPr>
          <w:p>
            <w:r/>
            <w:r>
              <w:rPr>
                <w:rFonts w:ascii="Aptos" w:hAnsi="Aptos"/>
                <w:b/>
                <w:sz w:val="17"/>
              </w:rPr>
              <w:t>Pass 3 position</w:t>
            </w:r>
          </w:p>
        </w:tc>
        <w:tc>
          <w:tcPr>
            <w:tcW w:type="dxa" w:w="3427"/>
            <w:vAlign w:val="center"/>
            <w:shd w:fill="D9E4F0"/>
          </w:tcPr>
          <w:p>
            <w:r/>
            <w:r>
              <w:rPr>
                <w:rFonts w:ascii="Aptos" w:hAnsi="Aptos"/>
                <w:b/>
                <w:sz w:val="17"/>
              </w:rPr>
              <w:t>QA result</w:t>
            </w:r>
          </w:p>
        </w:tc>
      </w:tr>
      <w:tr>
        <w:tc>
          <w:tcPr>
            <w:tcW w:type="dxa" w:w="3427"/>
            <w:vAlign w:val="center"/>
          </w:tcPr>
          <w:p>
            <w:r/>
            <w:r>
              <w:rPr>
                <w:rFonts w:ascii="Aptos" w:hAnsi="Aptos"/>
                <w:b w:val="0"/>
                <w:sz w:val="17"/>
              </w:rPr>
              <w:t>F04.1 Plant Knowledge Expansion</w:t>
            </w:r>
          </w:p>
        </w:tc>
        <w:tc>
          <w:tcPr>
            <w:tcW w:type="dxa" w:w="3427"/>
            <w:vAlign w:val="center"/>
          </w:tcPr>
          <w:p>
            <w:r/>
            <w:r>
              <w:rPr>
                <w:rFonts w:ascii="Aptos" w:hAnsi="Aptos"/>
                <w:b w:val="0"/>
                <w:sz w:val="17"/>
              </w:rPr>
              <w:t>Same feature name and discovery status</w:t>
            </w:r>
          </w:p>
        </w:tc>
        <w:tc>
          <w:tcPr>
            <w:tcW w:type="dxa" w:w="3427"/>
            <w:vAlign w:val="center"/>
          </w:tcPr>
          <w:p>
            <w:r/>
            <w:r>
              <w:rPr>
                <w:rFonts w:ascii="Aptos" w:hAnsi="Aptos"/>
                <w:b w:val="0"/>
                <w:sz w:val="17"/>
              </w:rPr>
              <w:t>PASS</w:t>
            </w:r>
          </w:p>
        </w:tc>
      </w:tr>
      <w:tr>
        <w:tc>
          <w:tcPr>
            <w:tcW w:type="dxa" w:w="3427"/>
            <w:vAlign w:val="center"/>
          </w:tcPr>
          <w:p>
            <w:r/>
            <w:r>
              <w:rPr>
                <w:rFonts w:ascii="Aptos" w:hAnsi="Aptos"/>
                <w:b w:val="0"/>
                <w:sz w:val="17"/>
              </w:rPr>
              <w:t>F04.2 Regional Plant Context</w:t>
            </w:r>
          </w:p>
        </w:tc>
        <w:tc>
          <w:tcPr>
            <w:tcW w:type="dxa" w:w="3427"/>
            <w:vAlign w:val="center"/>
          </w:tcPr>
          <w:p>
            <w:r/>
            <w:r>
              <w:rPr>
                <w:rFonts w:ascii="Aptos" w:hAnsi="Aptos"/>
                <w:b w:val="0"/>
                <w:sz w:val="17"/>
              </w:rPr>
              <w:t>Same feature name and discovery status</w:t>
            </w:r>
          </w:p>
        </w:tc>
        <w:tc>
          <w:tcPr>
            <w:tcW w:type="dxa" w:w="3427"/>
            <w:vAlign w:val="center"/>
          </w:tcPr>
          <w:p>
            <w:r/>
            <w:r>
              <w:rPr>
                <w:rFonts w:ascii="Aptos" w:hAnsi="Aptos"/>
                <w:b w:val="0"/>
                <w:sz w:val="17"/>
              </w:rPr>
              <w:t>PASS</w:t>
            </w:r>
          </w:p>
        </w:tc>
      </w:tr>
      <w:tr>
        <w:tc>
          <w:tcPr>
            <w:tcW w:type="dxa" w:w="3427"/>
            <w:vAlign w:val="center"/>
          </w:tcPr>
          <w:p>
            <w:r/>
            <w:r>
              <w:rPr>
                <w:rFonts w:ascii="Aptos" w:hAnsi="Aptos"/>
                <w:b w:val="0"/>
                <w:sz w:val="17"/>
              </w:rPr>
              <w:t>F04.3 Climate and Growing-Season Context</w:t>
            </w:r>
          </w:p>
        </w:tc>
        <w:tc>
          <w:tcPr>
            <w:tcW w:type="dxa" w:w="3427"/>
            <w:vAlign w:val="center"/>
          </w:tcPr>
          <w:p>
            <w:r/>
            <w:r>
              <w:rPr>
                <w:rFonts w:ascii="Aptos" w:hAnsi="Aptos"/>
                <w:b w:val="0"/>
                <w:sz w:val="17"/>
              </w:rPr>
              <w:t>Same feature name and discovery status</w:t>
            </w:r>
          </w:p>
        </w:tc>
        <w:tc>
          <w:tcPr>
            <w:tcW w:type="dxa" w:w="3427"/>
            <w:vAlign w:val="center"/>
          </w:tcPr>
          <w:p>
            <w:r/>
            <w:r>
              <w:rPr>
                <w:rFonts w:ascii="Aptos" w:hAnsi="Aptos"/>
                <w:b w:val="0"/>
                <w:sz w:val="17"/>
              </w:rPr>
              <w:t>PASS</w:t>
            </w:r>
          </w:p>
        </w:tc>
      </w:tr>
      <w:tr>
        <w:tc>
          <w:tcPr>
            <w:tcW w:type="dxa" w:w="3427"/>
            <w:vAlign w:val="center"/>
          </w:tcPr>
          <w:p>
            <w:r/>
            <w:r>
              <w:rPr>
                <w:rFonts w:ascii="Aptos" w:hAnsi="Aptos"/>
                <w:b w:val="0"/>
                <w:sz w:val="17"/>
              </w:rPr>
              <w:t>F04.4 Localisation and Content Adaptation</w:t>
            </w:r>
          </w:p>
        </w:tc>
        <w:tc>
          <w:tcPr>
            <w:tcW w:type="dxa" w:w="3427"/>
            <w:vAlign w:val="center"/>
          </w:tcPr>
          <w:p>
            <w:r/>
            <w:r>
              <w:rPr>
                <w:rFonts w:ascii="Aptos" w:hAnsi="Aptos"/>
                <w:b w:val="0"/>
                <w:sz w:val="17"/>
              </w:rPr>
              <w:t>Same feature name and governance-gated status</w:t>
            </w:r>
          </w:p>
        </w:tc>
        <w:tc>
          <w:tcPr>
            <w:tcW w:type="dxa" w:w="3427"/>
            <w:vAlign w:val="center"/>
          </w:tcPr>
          <w:p>
            <w:r/>
            <w:r>
              <w:rPr>
                <w:rFonts w:ascii="Aptos" w:hAnsi="Aptos"/>
                <w:b w:val="0"/>
                <w:sz w:val="17"/>
              </w:rPr>
              <w:t>PASS</w:t>
            </w:r>
          </w:p>
        </w:tc>
      </w:tr>
      <w:tr>
        <w:tc>
          <w:tcPr>
            <w:tcW w:type="dxa" w:w="3427"/>
            <w:vAlign w:val="center"/>
          </w:tcPr>
          <w:p>
            <w:r/>
            <w:r>
              <w:rPr>
                <w:rFonts w:ascii="Aptos" w:hAnsi="Aptos"/>
                <w:b w:val="0"/>
                <w:sz w:val="17"/>
              </w:rPr>
              <w:t>Candidate requirement directions</w:t>
            </w:r>
          </w:p>
        </w:tc>
        <w:tc>
          <w:tcPr>
            <w:tcW w:type="dxa" w:w="3427"/>
            <w:vAlign w:val="center"/>
          </w:tcPr>
          <w:p>
            <w:r/>
            <w:r>
              <w:rPr>
                <w:rFonts w:ascii="Aptos" w:hAnsi="Aptos"/>
                <w:b w:val="0"/>
                <w:sz w:val="17"/>
              </w:rPr>
              <w:t>Unassigned requirements, candidate wording retained</w:t>
            </w:r>
          </w:p>
        </w:tc>
        <w:tc>
          <w:tcPr>
            <w:tcW w:type="dxa" w:w="3427"/>
            <w:vAlign w:val="center"/>
          </w:tcPr>
          <w:p>
            <w:r/>
            <w:r>
              <w:rPr>
                <w:rFonts w:ascii="Aptos" w:hAnsi="Aptos"/>
                <w:b w:val="0"/>
                <w:sz w:val="17"/>
              </w:rPr>
              <w:t>PASS</w:t>
            </w:r>
          </w:p>
        </w:tc>
      </w:tr>
      <w:tr>
        <w:tc>
          <w:tcPr>
            <w:tcW w:type="dxa" w:w="3427"/>
            <w:vAlign w:val="center"/>
          </w:tcPr>
          <w:p>
            <w:r/>
            <w:r>
              <w:rPr>
                <w:rFonts w:ascii="Aptos" w:hAnsi="Aptos"/>
                <w:b w:val="0"/>
                <w:sz w:val="17"/>
              </w:rPr>
              <w:t>Candidate story direction</w:t>
            </w:r>
          </w:p>
        </w:tc>
        <w:tc>
          <w:tcPr>
            <w:tcW w:type="dxa" w:w="3427"/>
            <w:vAlign w:val="center"/>
          </w:tcPr>
          <w:p>
            <w:r/>
            <w:r>
              <w:rPr>
                <w:rFonts w:ascii="Aptos" w:hAnsi="Aptos"/>
                <w:b w:val="0"/>
                <w:sz w:val="17"/>
              </w:rPr>
              <w:t>Unassigned story direction retained</w:t>
            </w:r>
          </w:p>
        </w:tc>
        <w:tc>
          <w:tcPr>
            <w:tcW w:type="dxa" w:w="3427"/>
            <w:vAlign w:val="center"/>
          </w:tcPr>
          <w:p>
            <w:r/>
            <w:r>
              <w:rPr>
                <w:rFonts w:ascii="Aptos" w:hAnsi="Aptos"/>
                <w:b w:val="0"/>
                <w:sz w:val="17"/>
              </w:rPr>
              <w:t>PASS</w:t>
            </w:r>
          </w:p>
        </w:tc>
      </w:tr>
      <w:tr>
        <w:tc>
          <w:tcPr>
            <w:tcW w:type="dxa" w:w="3427"/>
            <w:vAlign w:val="center"/>
          </w:tcPr>
          <w:p>
            <w:r/>
            <w:r>
              <w:rPr>
                <w:rFonts w:ascii="Aptos" w:hAnsi="Aptos"/>
                <w:b w:val="0"/>
                <w:sz w:val="17"/>
              </w:rPr>
              <w:t>No Jira commitment</w:t>
            </w:r>
          </w:p>
        </w:tc>
        <w:tc>
          <w:tcPr>
            <w:tcW w:type="dxa" w:w="3427"/>
            <w:vAlign w:val="center"/>
          </w:tcPr>
          <w:p>
            <w:r/>
            <w:r>
              <w:rPr>
                <w:rFonts w:ascii="Aptos" w:hAnsi="Aptos"/>
                <w:b w:val="0"/>
                <w:sz w:val="17"/>
              </w:rPr>
              <w:t>Jira explicitly not approved</w:t>
            </w:r>
          </w:p>
        </w:tc>
        <w:tc>
          <w:tcPr>
            <w:tcW w:type="dxa" w:w="3427"/>
            <w:vAlign w:val="center"/>
          </w:tcPr>
          <w:p>
            <w:r/>
            <w:r>
              <w:rPr>
                <w:rFonts w:ascii="Aptos" w:hAnsi="Aptos"/>
                <w:b w:val="0"/>
                <w:sz w:val="17"/>
              </w:rPr>
              <w:t>PASS</w:t>
            </w:r>
          </w:p>
        </w:tc>
      </w:tr>
    </w:tbl>
    <w:p/>
    <w:p>
      <w:pPr>
        <w:pStyle w:val="Heading1"/>
      </w:pPr>
      <w:r>
        <w:t>4. Nine-Gate Progression Integrity</w:t>
      </w:r>
    </w:p>
    <w:p>
      <w:r>
        <w:t>I checked the actual progression table rather than relying on the section label. The F04 gate set contains nine rows in the same order and with the same names as Pass 2.</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center"/>
            <w:shd w:fill="D9E4F0"/>
          </w:tcPr>
          <w:p>
            <w:r/>
            <w:r>
              <w:rPr>
                <w:rFonts w:ascii="Aptos" w:hAnsi="Aptos"/>
                <w:b/>
                <w:sz w:val="17"/>
              </w:rPr>
              <w:t>#</w:t>
            </w:r>
          </w:p>
        </w:tc>
        <w:tc>
          <w:tcPr>
            <w:tcW w:type="dxa" w:w="2056"/>
            <w:vAlign w:val="center"/>
            <w:shd w:fill="D9E4F0"/>
          </w:tcPr>
          <w:p>
            <w:r/>
            <w:r>
              <w:rPr>
                <w:rFonts w:ascii="Aptos" w:hAnsi="Aptos"/>
                <w:b/>
                <w:sz w:val="17"/>
              </w:rPr>
              <w:t>Gate</w:t>
            </w:r>
          </w:p>
        </w:tc>
        <w:tc>
          <w:tcPr>
            <w:tcW w:type="dxa" w:w="2056"/>
            <w:vAlign w:val="center"/>
            <w:shd w:fill="D9E4F0"/>
          </w:tcPr>
          <w:p>
            <w:r/>
            <w:r>
              <w:rPr>
                <w:rFonts w:ascii="Aptos" w:hAnsi="Aptos"/>
                <w:b/>
                <w:sz w:val="17"/>
              </w:rPr>
              <w:t>Pass 2</w:t>
            </w:r>
          </w:p>
        </w:tc>
        <w:tc>
          <w:tcPr>
            <w:tcW w:type="dxa" w:w="2056"/>
            <w:vAlign w:val="center"/>
            <w:shd w:fill="D9E4F0"/>
          </w:tcPr>
          <w:p>
            <w:r/>
            <w:r>
              <w:rPr>
                <w:rFonts w:ascii="Aptos" w:hAnsi="Aptos"/>
                <w:b/>
                <w:sz w:val="17"/>
              </w:rPr>
              <w:t>Pass 3</w:t>
            </w:r>
          </w:p>
        </w:tc>
        <w:tc>
          <w:tcPr>
            <w:tcW w:type="dxa" w:w="2056"/>
            <w:vAlign w:val="center"/>
            <w:shd w:fill="D9E4F0"/>
          </w:tcPr>
          <w:p>
            <w:r/>
            <w:r>
              <w:rPr>
                <w:rFonts w:ascii="Aptos" w:hAnsi="Aptos"/>
                <w:b/>
                <w:sz w:val="17"/>
              </w:rPr>
              <w:t>Integrity</w:t>
            </w:r>
          </w:p>
        </w:tc>
      </w:tr>
      <w:tr>
        <w:tc>
          <w:tcPr>
            <w:tcW w:type="dxa" w:w="2056"/>
            <w:vAlign w:val="center"/>
          </w:tcPr>
          <w:p>
            <w:r/>
            <w:r>
              <w:rPr>
                <w:rFonts w:ascii="Aptos" w:hAnsi="Aptos"/>
                <w:b w:val="0"/>
                <w:sz w:val="17"/>
              </w:rPr>
              <w:t>1</w:t>
            </w:r>
          </w:p>
        </w:tc>
        <w:tc>
          <w:tcPr>
            <w:tcW w:type="dxa" w:w="2056"/>
            <w:vAlign w:val="center"/>
          </w:tcPr>
          <w:p>
            <w:r/>
            <w:r>
              <w:rPr>
                <w:rFonts w:ascii="Aptos" w:hAnsi="Aptos"/>
                <w:b w:val="0"/>
                <w:sz w:val="17"/>
              </w:rPr>
              <w:t>Problem validation</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PASS</w:t>
            </w:r>
          </w:p>
        </w:tc>
      </w:tr>
      <w:tr>
        <w:tc>
          <w:tcPr>
            <w:tcW w:type="dxa" w:w="2056"/>
            <w:vAlign w:val="center"/>
          </w:tcPr>
          <w:p>
            <w:r/>
            <w:r>
              <w:rPr>
                <w:rFonts w:ascii="Aptos" w:hAnsi="Aptos"/>
                <w:b w:val="0"/>
                <w:sz w:val="17"/>
              </w:rPr>
              <w:t>2</w:t>
            </w:r>
          </w:p>
        </w:tc>
        <w:tc>
          <w:tcPr>
            <w:tcW w:type="dxa" w:w="2056"/>
            <w:vAlign w:val="center"/>
          </w:tcPr>
          <w:p>
            <w:r/>
            <w:r>
              <w:rPr>
                <w:rFonts w:ascii="Aptos" w:hAnsi="Aptos"/>
                <w:b w:val="0"/>
                <w:sz w:val="17"/>
              </w:rPr>
              <w:t>Content authority</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PASS</w:t>
            </w:r>
          </w:p>
        </w:tc>
      </w:tr>
      <w:tr>
        <w:tc>
          <w:tcPr>
            <w:tcW w:type="dxa" w:w="2056"/>
            <w:vAlign w:val="center"/>
          </w:tcPr>
          <w:p>
            <w:r/>
            <w:r>
              <w:rPr>
                <w:rFonts w:ascii="Aptos" w:hAnsi="Aptos"/>
                <w:b w:val="0"/>
                <w:sz w:val="17"/>
              </w:rPr>
              <w:t>3</w:t>
            </w:r>
          </w:p>
        </w:tc>
        <w:tc>
          <w:tcPr>
            <w:tcW w:type="dxa" w:w="2056"/>
            <w:vAlign w:val="center"/>
          </w:tcPr>
          <w:p>
            <w:r/>
            <w:r>
              <w:rPr>
                <w:rFonts w:ascii="Aptos" w:hAnsi="Aptos"/>
                <w:b w:val="0"/>
                <w:sz w:val="17"/>
              </w:rPr>
              <w:t>Knowledge model</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PASS</w:t>
            </w:r>
          </w:p>
        </w:tc>
      </w:tr>
      <w:tr>
        <w:tc>
          <w:tcPr>
            <w:tcW w:type="dxa" w:w="2056"/>
            <w:vAlign w:val="center"/>
          </w:tcPr>
          <w:p>
            <w:r/>
            <w:r>
              <w:rPr>
                <w:rFonts w:ascii="Aptos" w:hAnsi="Aptos"/>
                <w:b w:val="0"/>
                <w:sz w:val="17"/>
              </w:rPr>
              <w:t>4</w:t>
            </w:r>
          </w:p>
        </w:tc>
        <w:tc>
          <w:tcPr>
            <w:tcW w:type="dxa" w:w="2056"/>
            <w:vAlign w:val="center"/>
          </w:tcPr>
          <w:p>
            <w:r/>
            <w:r>
              <w:rPr>
                <w:rFonts w:ascii="Aptos" w:hAnsi="Aptos"/>
                <w:b w:val="0"/>
                <w:sz w:val="17"/>
              </w:rPr>
              <w:t>Regional scope</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PASS</w:t>
            </w:r>
          </w:p>
        </w:tc>
      </w:tr>
      <w:tr>
        <w:tc>
          <w:tcPr>
            <w:tcW w:type="dxa" w:w="2056"/>
            <w:vAlign w:val="center"/>
          </w:tcPr>
          <w:p>
            <w:r/>
            <w:r>
              <w:rPr>
                <w:rFonts w:ascii="Aptos" w:hAnsi="Aptos"/>
                <w:b w:val="0"/>
                <w:sz w:val="17"/>
              </w:rPr>
              <w:t>5</w:t>
            </w:r>
          </w:p>
        </w:tc>
        <w:tc>
          <w:tcPr>
            <w:tcW w:type="dxa" w:w="2056"/>
            <w:vAlign w:val="center"/>
          </w:tcPr>
          <w:p>
            <w:r/>
            <w:r>
              <w:rPr>
                <w:rFonts w:ascii="Aptos" w:hAnsi="Aptos"/>
                <w:b w:val="0"/>
                <w:sz w:val="17"/>
              </w:rPr>
              <w:t>Localisation</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PASS</w:t>
            </w:r>
          </w:p>
        </w:tc>
      </w:tr>
      <w:tr>
        <w:tc>
          <w:tcPr>
            <w:tcW w:type="dxa" w:w="2056"/>
            <w:vAlign w:val="center"/>
          </w:tcPr>
          <w:p>
            <w:r/>
            <w:r>
              <w:rPr>
                <w:rFonts w:ascii="Aptos" w:hAnsi="Aptos"/>
                <w:b w:val="0"/>
                <w:sz w:val="17"/>
              </w:rPr>
              <w:t>6</w:t>
            </w:r>
          </w:p>
        </w:tc>
        <w:tc>
          <w:tcPr>
            <w:tcW w:type="dxa" w:w="2056"/>
            <w:vAlign w:val="center"/>
          </w:tcPr>
          <w:p>
            <w:r/>
            <w:r>
              <w:rPr>
                <w:rFonts w:ascii="Aptos" w:hAnsi="Aptos"/>
                <w:b w:val="0"/>
                <w:sz w:val="17"/>
              </w:rPr>
              <w:t>Regulatory assessment</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PASS</w:t>
            </w:r>
          </w:p>
        </w:tc>
      </w:tr>
      <w:tr>
        <w:tc>
          <w:tcPr>
            <w:tcW w:type="dxa" w:w="2056"/>
            <w:vAlign w:val="center"/>
          </w:tcPr>
          <w:p>
            <w:r/>
            <w:r>
              <w:rPr>
                <w:rFonts w:ascii="Aptos" w:hAnsi="Aptos"/>
                <w:b w:val="0"/>
                <w:sz w:val="17"/>
              </w:rPr>
              <w:t>7</w:t>
            </w:r>
          </w:p>
        </w:tc>
        <w:tc>
          <w:tcPr>
            <w:tcW w:type="dxa" w:w="2056"/>
            <w:vAlign w:val="center"/>
          </w:tcPr>
          <w:p>
            <w:r/>
            <w:r>
              <w:rPr>
                <w:rFonts w:ascii="Aptos" w:hAnsi="Aptos"/>
                <w:b w:val="0"/>
                <w:sz w:val="17"/>
              </w:rPr>
              <w:t>Operating model</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PASS</w:t>
            </w:r>
          </w:p>
        </w:tc>
      </w:tr>
      <w:tr>
        <w:tc>
          <w:tcPr>
            <w:tcW w:type="dxa" w:w="2056"/>
            <w:vAlign w:val="center"/>
          </w:tcPr>
          <w:p>
            <w:r/>
            <w:r>
              <w:rPr>
                <w:rFonts w:ascii="Aptos" w:hAnsi="Aptos"/>
                <w:b w:val="0"/>
                <w:sz w:val="17"/>
              </w:rPr>
              <w:t>8</w:t>
            </w:r>
          </w:p>
        </w:tc>
        <w:tc>
          <w:tcPr>
            <w:tcW w:type="dxa" w:w="2056"/>
            <w:vAlign w:val="center"/>
          </w:tcPr>
          <w:p>
            <w:r/>
            <w:r>
              <w:rPr>
                <w:rFonts w:ascii="Aptos" w:hAnsi="Aptos"/>
                <w:b w:val="0"/>
                <w:sz w:val="17"/>
              </w:rPr>
              <w:t>Acceptance logic</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PASS</w:t>
            </w:r>
          </w:p>
        </w:tc>
      </w:tr>
      <w:tr>
        <w:tc>
          <w:tcPr>
            <w:tcW w:type="dxa" w:w="2056"/>
            <w:vAlign w:val="center"/>
          </w:tcPr>
          <w:p>
            <w:r/>
            <w:r>
              <w:rPr>
                <w:rFonts w:ascii="Aptos" w:hAnsi="Aptos"/>
                <w:b w:val="0"/>
                <w:sz w:val="17"/>
              </w:rPr>
              <w:t>9</w:t>
            </w:r>
          </w:p>
        </w:tc>
        <w:tc>
          <w:tcPr>
            <w:tcW w:type="dxa" w:w="2056"/>
            <w:vAlign w:val="center"/>
          </w:tcPr>
          <w:p>
            <w:r/>
            <w:r>
              <w:rPr>
                <w:rFonts w:ascii="Aptos" w:hAnsi="Aptos"/>
                <w:b w:val="0"/>
                <w:sz w:val="17"/>
              </w:rPr>
              <w:t>Value and priority</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Present</w:t>
            </w:r>
          </w:p>
        </w:tc>
        <w:tc>
          <w:tcPr>
            <w:tcW w:type="dxa" w:w="2056"/>
            <w:vAlign w:val="center"/>
          </w:tcPr>
          <w:p>
            <w:r/>
            <w:r>
              <w:rPr>
                <w:rFonts w:ascii="Aptos" w:hAnsi="Aptos"/>
                <w:b w:val="0"/>
                <w:sz w:val="17"/>
              </w:rPr>
              <w:t>PASS</w:t>
            </w:r>
          </w:p>
        </w:tc>
      </w:tr>
    </w:tbl>
    <w:p/>
    <w:p>
      <w:pPr>
        <w:pStyle w:val="Heading1"/>
      </w:pPr>
      <w:r>
        <w:t>5. Cross-Epic Boundary Integrity</w:t>
      </w:r>
    </w:p>
    <w:p>
      <w:r>
        <w:t>The F04 scope remains distinct from the other future epics. The boundary follows the revalidated Vision Map and the actual Pass 2 and Pass 3 exclusions.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4F0"/>
          </w:tcPr>
          <w:p>
            <w:r/>
            <w:r>
              <w:rPr>
                <w:rFonts w:ascii="Aptos" w:hAnsi="Aptos"/>
                <w:b/>
                <w:sz w:val="17"/>
              </w:rPr>
              <w:t>Boundary</w:t>
            </w:r>
          </w:p>
        </w:tc>
        <w:tc>
          <w:tcPr>
            <w:tcW w:type="dxa" w:w="5141"/>
            <w:vAlign w:val="center"/>
            <w:shd w:fill="D9E4F0"/>
          </w:tcPr>
          <w:p>
            <w:r/>
            <w:r>
              <w:rPr>
                <w:rFonts w:ascii="Aptos" w:hAnsi="Aptos"/>
                <w:b/>
                <w:sz w:val="17"/>
              </w:rPr>
              <w:t>F04 QA position</w:t>
            </w:r>
          </w:p>
        </w:tc>
      </w:tr>
      <w:tr>
        <w:tc>
          <w:tcPr>
            <w:tcW w:type="dxa" w:w="5141"/>
            <w:vAlign w:val="center"/>
          </w:tcPr>
          <w:p>
            <w:r/>
            <w:r>
              <w:rPr>
                <w:rFonts w:ascii="Aptos" w:hAnsi="Aptos"/>
                <w:b w:val="0"/>
                <w:sz w:val="17"/>
              </w:rPr>
              <w:t>F01 Smart Plant Care</w:t>
            </w:r>
          </w:p>
        </w:tc>
        <w:tc>
          <w:tcPr>
            <w:tcW w:type="dxa" w:w="5141"/>
            <w:vAlign w:val="center"/>
          </w:tcPr>
          <w:p>
            <w:r/>
            <w:r>
              <w:rPr>
                <w:rFonts w:ascii="Aptos" w:hAnsi="Aptos"/>
                <w:b w:val="0"/>
                <w:sz w:val="17"/>
              </w:rPr>
              <w:t>Plant-specific care and watering remain separate</w:t>
            </w:r>
          </w:p>
        </w:tc>
      </w:tr>
      <w:tr>
        <w:tc>
          <w:tcPr>
            <w:tcW w:type="dxa" w:w="5141"/>
            <w:vAlign w:val="center"/>
          </w:tcPr>
          <w:p>
            <w:r/>
            <w:r>
              <w:rPr>
                <w:rFonts w:ascii="Aptos" w:hAnsi="Aptos"/>
                <w:b w:val="0"/>
                <w:sz w:val="17"/>
              </w:rPr>
              <w:t>F02 Weather-Aware Gardening</w:t>
            </w:r>
          </w:p>
        </w:tc>
        <w:tc>
          <w:tcPr>
            <w:tcW w:type="dxa" w:w="5141"/>
            <w:vAlign w:val="center"/>
          </w:tcPr>
          <w:p>
            <w:r/>
            <w:r>
              <w:rPr>
                <w:rFonts w:ascii="Aptos" w:hAnsi="Aptos"/>
                <w:b w:val="0"/>
                <w:sz w:val="17"/>
              </w:rPr>
              <w:t>Weather-aware context and real-time weather guidance remain separate</w:t>
            </w:r>
          </w:p>
        </w:tc>
      </w:tr>
      <w:tr>
        <w:tc>
          <w:tcPr>
            <w:tcW w:type="dxa" w:w="5141"/>
            <w:vAlign w:val="center"/>
          </w:tcPr>
          <w:p>
            <w:r/>
            <w:r>
              <w:rPr>
                <w:rFonts w:ascii="Aptos" w:hAnsi="Aptos"/>
                <w:b w:val="0"/>
                <w:sz w:val="17"/>
              </w:rPr>
              <w:t>F03 Plant Health and Protection</w:t>
            </w:r>
          </w:p>
        </w:tc>
        <w:tc>
          <w:tcPr>
            <w:tcW w:type="dxa" w:w="5141"/>
            <w:vAlign w:val="center"/>
          </w:tcPr>
          <w:p>
            <w:r/>
            <w:r>
              <w:rPr>
                <w:rFonts w:ascii="Aptos" w:hAnsi="Aptos"/>
                <w:b w:val="0"/>
                <w:sz w:val="17"/>
              </w:rPr>
              <w:t>Plant-health identification and treatment remain separate</w:t>
            </w:r>
          </w:p>
        </w:tc>
      </w:tr>
      <w:tr>
        <w:tc>
          <w:tcPr>
            <w:tcW w:type="dxa" w:w="5141"/>
            <w:vAlign w:val="center"/>
          </w:tcPr>
          <w:p>
            <w:r/>
            <w:r>
              <w:rPr>
                <w:rFonts w:ascii="Aptos" w:hAnsi="Aptos"/>
                <w:b w:val="0"/>
                <w:sz w:val="17"/>
              </w:rPr>
              <w:t>F05 Personalised Garden Experience</w:t>
            </w:r>
          </w:p>
        </w:tc>
        <w:tc>
          <w:tcPr>
            <w:tcW w:type="dxa" w:w="5141"/>
            <w:vAlign w:val="center"/>
          </w:tcPr>
          <w:p>
            <w:r/>
            <w:r>
              <w:rPr>
                <w:rFonts w:ascii="Aptos" w:hAnsi="Aptos"/>
                <w:b w:val="0"/>
                <w:sz w:val="17"/>
              </w:rPr>
              <w:t>Gardener profiles and personalisation remain separate</w:t>
            </w:r>
          </w:p>
        </w:tc>
      </w:tr>
      <w:tr>
        <w:tc>
          <w:tcPr>
            <w:tcW w:type="dxa" w:w="5141"/>
            <w:vAlign w:val="center"/>
          </w:tcPr>
          <w:p>
            <w:r/>
            <w:r>
              <w:rPr>
                <w:rFonts w:ascii="Aptos" w:hAnsi="Aptos"/>
                <w:b w:val="0"/>
                <w:sz w:val="17"/>
              </w:rPr>
              <w:t>F06 Platform Scalability and Global Readiness</w:t>
            </w:r>
          </w:p>
        </w:tc>
        <w:tc>
          <w:tcPr>
            <w:tcW w:type="dxa" w:w="5141"/>
            <w:vAlign w:val="center"/>
          </w:tcPr>
          <w:p>
            <w:r/>
            <w:r>
              <w:rPr>
                <w:rFonts w:ascii="Aptos" w:hAnsi="Aptos"/>
                <w:b w:val="0"/>
                <w:sz w:val="17"/>
              </w:rPr>
              <w:t>Broader system and business-case capability remains separate</w:t>
            </w:r>
          </w:p>
        </w:tc>
      </w:tr>
      <w:tr>
        <w:tc>
          <w:tcPr>
            <w:tcW w:type="dxa" w:w="5141"/>
            <w:vAlign w:val="center"/>
          </w:tcPr>
          <w:p>
            <w:r/>
            <w:r>
              <w:rPr>
                <w:rFonts w:ascii="Aptos" w:hAnsi="Aptos"/>
                <w:b w:val="0"/>
                <w:sz w:val="17"/>
              </w:rPr>
              <w:t>Chemical or pesticide guidance</w:t>
            </w:r>
          </w:p>
        </w:tc>
        <w:tc>
          <w:tcPr>
            <w:tcW w:type="dxa" w:w="5141"/>
            <w:vAlign w:val="center"/>
          </w:tcPr>
          <w:p>
            <w:r/>
            <w:r>
              <w:rPr>
                <w:rFonts w:ascii="Aptos" w:hAnsi="Aptos"/>
                <w:b w:val="0"/>
                <w:sz w:val="17"/>
              </w:rPr>
              <w:t>Not introduced through F04</w:t>
            </w:r>
          </w:p>
        </w:tc>
      </w:tr>
    </w:tbl>
    <w:p/>
    <w:p>
      <w:pPr>
        <w:pStyle w:val="Heading1"/>
      </w:pPr>
      <w:r>
        <w:t>6. ID and Delivery Integrity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4F0"/>
          </w:tcPr>
          <w:p>
            <w:r/>
            <w:r>
              <w:rPr>
                <w:rFonts w:ascii="Aptos" w:hAnsi="Aptos"/>
                <w:b/>
                <w:sz w:val="17"/>
              </w:rPr>
              <w:t>Control</w:t>
            </w:r>
          </w:p>
        </w:tc>
        <w:tc>
          <w:tcPr>
            <w:tcW w:type="dxa" w:w="5141"/>
            <w:vAlign w:val="center"/>
            <w:shd w:fill="D9E4F0"/>
          </w:tcPr>
          <w:p>
            <w:r/>
            <w:r>
              <w:rPr>
                <w:rFonts w:ascii="Aptos" w:hAnsi="Aptos"/>
                <w:b/>
                <w:sz w:val="17"/>
              </w:rPr>
              <w:t>QA finding</w:t>
            </w:r>
          </w:p>
        </w:tc>
      </w:tr>
      <w:tr>
        <w:tc>
          <w:tcPr>
            <w:tcW w:type="dxa" w:w="5141"/>
            <w:vAlign w:val="center"/>
          </w:tcPr>
          <w:p>
            <w:r/>
            <w:r>
              <w:rPr>
                <w:rFonts w:ascii="Aptos" w:hAnsi="Aptos"/>
                <w:b w:val="0"/>
                <w:sz w:val="17"/>
              </w:rPr>
              <w:t>Future requirement IDs</w:t>
            </w:r>
          </w:p>
        </w:tc>
        <w:tc>
          <w:tcPr>
            <w:tcW w:type="dxa" w:w="5141"/>
            <w:vAlign w:val="center"/>
          </w:tcPr>
          <w:p>
            <w:r/>
            <w:r>
              <w:rPr>
                <w:rFonts w:ascii="Aptos" w:hAnsi="Aptos"/>
                <w:b w:val="0"/>
                <w:sz w:val="17"/>
              </w:rPr>
              <w:t>None assigned</w:t>
            </w:r>
          </w:p>
        </w:tc>
      </w:tr>
      <w:tr>
        <w:tc>
          <w:tcPr>
            <w:tcW w:type="dxa" w:w="5141"/>
            <w:vAlign w:val="center"/>
          </w:tcPr>
          <w:p>
            <w:r/>
            <w:r>
              <w:rPr>
                <w:rFonts w:ascii="Aptos" w:hAnsi="Aptos"/>
                <w:b w:val="0"/>
                <w:sz w:val="17"/>
              </w:rPr>
              <w:t>Future story ID</w:t>
            </w:r>
          </w:p>
        </w:tc>
        <w:tc>
          <w:tcPr>
            <w:tcW w:type="dxa" w:w="5141"/>
            <w:vAlign w:val="center"/>
          </w:tcPr>
          <w:p>
            <w:r/>
            <w:r>
              <w:rPr>
                <w:rFonts w:ascii="Aptos" w:hAnsi="Aptos"/>
                <w:b w:val="0"/>
                <w:sz w:val="17"/>
              </w:rPr>
              <w:t>None assigned</w:t>
            </w:r>
          </w:p>
        </w:tc>
      </w:tr>
      <w:tr>
        <w:tc>
          <w:tcPr>
            <w:tcW w:type="dxa" w:w="5141"/>
            <w:vAlign w:val="center"/>
          </w:tcPr>
          <w:p>
            <w:r/>
            <w:r>
              <w:rPr>
                <w:rFonts w:ascii="Aptos" w:hAnsi="Aptos"/>
                <w:b w:val="0"/>
                <w:sz w:val="17"/>
              </w:rPr>
              <w:t>MVP FR-01 to FR-09</w:t>
            </w:r>
          </w:p>
        </w:tc>
        <w:tc>
          <w:tcPr>
            <w:tcW w:type="dxa" w:w="5141"/>
            <w:vAlign w:val="center"/>
          </w:tcPr>
          <w:p>
            <w:r/>
            <w:r>
              <w:rPr>
                <w:rFonts w:ascii="Aptos" w:hAnsi="Aptos"/>
                <w:b w:val="0"/>
                <w:sz w:val="17"/>
              </w:rPr>
              <w:t>No changes</w:t>
            </w:r>
          </w:p>
        </w:tc>
      </w:tr>
      <w:tr>
        <w:tc>
          <w:tcPr>
            <w:tcW w:type="dxa" w:w="5141"/>
            <w:vAlign w:val="center"/>
          </w:tcPr>
          <w:p>
            <w:r/>
            <w:r>
              <w:rPr>
                <w:rFonts w:ascii="Aptos" w:hAnsi="Aptos"/>
                <w:b w:val="0"/>
                <w:sz w:val="17"/>
              </w:rPr>
              <w:t>F01 FR-10 / FR-11 / US-08</w:t>
            </w:r>
          </w:p>
        </w:tc>
        <w:tc>
          <w:tcPr>
            <w:tcW w:type="dxa" w:w="5141"/>
            <w:vAlign w:val="center"/>
          </w:tcPr>
          <w:p>
            <w:r/>
            <w:r>
              <w:rPr>
                <w:rFonts w:ascii="Aptos" w:hAnsi="Aptos"/>
                <w:b w:val="0"/>
                <w:sz w:val="17"/>
              </w:rPr>
              <w:t>No reuse or collision</w:t>
            </w:r>
          </w:p>
        </w:tc>
      </w:tr>
      <w:tr>
        <w:tc>
          <w:tcPr>
            <w:tcW w:type="dxa" w:w="5141"/>
            <w:vAlign w:val="center"/>
          </w:tcPr>
          <w:p>
            <w:r/>
            <w:r>
              <w:rPr>
                <w:rFonts w:ascii="Aptos" w:hAnsi="Aptos"/>
                <w:b w:val="0"/>
                <w:sz w:val="17"/>
              </w:rPr>
              <w:t>Stakeholder IDs</w:t>
            </w:r>
          </w:p>
        </w:tc>
        <w:tc>
          <w:tcPr>
            <w:tcW w:type="dxa" w:w="5141"/>
            <w:vAlign w:val="center"/>
          </w:tcPr>
          <w:p>
            <w:r/>
            <w:r>
              <w:rPr>
                <w:rFonts w:ascii="Aptos" w:hAnsi="Aptos"/>
                <w:b w:val="0"/>
                <w:sz w:val="17"/>
              </w:rPr>
              <w:t>No new stakeholder IDs assigned</w:t>
            </w:r>
          </w:p>
        </w:tc>
      </w:tr>
      <w:tr>
        <w:tc>
          <w:tcPr>
            <w:tcW w:type="dxa" w:w="5141"/>
            <w:vAlign w:val="center"/>
          </w:tcPr>
          <w:p>
            <w:r/>
            <w:r>
              <w:rPr>
                <w:rFonts w:ascii="Aptos" w:hAnsi="Aptos"/>
                <w:b w:val="0"/>
                <w:sz w:val="17"/>
              </w:rPr>
              <w:t>NFR IDs</w:t>
            </w:r>
          </w:p>
        </w:tc>
        <w:tc>
          <w:tcPr>
            <w:tcW w:type="dxa" w:w="5141"/>
            <w:vAlign w:val="center"/>
          </w:tcPr>
          <w:p>
            <w:r/>
            <w:r>
              <w:rPr>
                <w:rFonts w:ascii="Aptos" w:hAnsi="Aptos"/>
                <w:b w:val="0"/>
                <w:sz w:val="17"/>
              </w:rPr>
              <w:t>No new NFR IDs assigned</w:t>
            </w:r>
          </w:p>
        </w:tc>
      </w:tr>
      <w:tr>
        <w:tc>
          <w:tcPr>
            <w:tcW w:type="dxa" w:w="5141"/>
            <w:vAlign w:val="center"/>
          </w:tcPr>
          <w:p>
            <w:r/>
            <w:r>
              <w:rPr>
                <w:rFonts w:ascii="Aptos" w:hAnsi="Aptos"/>
                <w:b w:val="0"/>
                <w:sz w:val="17"/>
              </w:rPr>
              <w:t>Story Points</w:t>
            </w:r>
          </w:p>
        </w:tc>
        <w:tc>
          <w:tcPr>
            <w:tcW w:type="dxa" w:w="5141"/>
            <w:vAlign w:val="center"/>
          </w:tcPr>
          <w:p>
            <w:r/>
            <w:r>
              <w:rPr>
                <w:rFonts w:ascii="Aptos" w:hAnsi="Aptos"/>
                <w:b w:val="0"/>
                <w:sz w:val="17"/>
              </w:rPr>
              <w:t>Not assigned</w:t>
            </w:r>
          </w:p>
        </w:tc>
      </w:tr>
      <w:tr>
        <w:tc>
          <w:tcPr>
            <w:tcW w:type="dxa" w:w="5141"/>
            <w:vAlign w:val="center"/>
          </w:tcPr>
          <w:p>
            <w:r/>
            <w:r>
              <w:rPr>
                <w:rFonts w:ascii="Aptos" w:hAnsi="Aptos"/>
                <w:b w:val="0"/>
                <w:sz w:val="17"/>
              </w:rPr>
              <w:t>Bugs</w:t>
            </w:r>
          </w:p>
        </w:tc>
        <w:tc>
          <w:tcPr>
            <w:tcW w:type="dxa" w:w="5141"/>
            <w:vAlign w:val="center"/>
          </w:tcPr>
          <w:p>
            <w:r/>
            <w:r>
              <w:rPr>
                <w:rFonts w:ascii="Aptos" w:hAnsi="Aptos"/>
                <w:b w:val="0"/>
                <w:sz w:val="17"/>
              </w:rPr>
              <w:t>None created</w:t>
            </w:r>
          </w:p>
        </w:tc>
      </w:tr>
      <w:tr>
        <w:tc>
          <w:tcPr>
            <w:tcW w:type="dxa" w:w="5141"/>
            <w:vAlign w:val="center"/>
          </w:tcPr>
          <w:p>
            <w:r/>
            <w:r>
              <w:rPr>
                <w:rFonts w:ascii="Aptos" w:hAnsi="Aptos"/>
                <w:b w:val="0"/>
                <w:sz w:val="17"/>
              </w:rPr>
              <w:t>Jira creation</w:t>
            </w:r>
          </w:p>
        </w:tc>
        <w:tc>
          <w:tcPr>
            <w:tcW w:type="dxa" w:w="5141"/>
            <w:vAlign w:val="center"/>
          </w:tcPr>
          <w:p>
            <w:r/>
            <w:r>
              <w:rPr>
                <w:rFonts w:ascii="Aptos" w:hAnsi="Aptos"/>
                <w:b w:val="0"/>
                <w:sz w:val="17"/>
              </w:rPr>
              <w:t>Not approved</w:t>
            </w:r>
          </w:p>
        </w:tc>
      </w:tr>
      <w:tr>
        <w:tc>
          <w:tcPr>
            <w:tcW w:type="dxa" w:w="5141"/>
            <w:vAlign w:val="center"/>
          </w:tcPr>
          <w:p>
            <w:r/>
            <w:r>
              <w:rPr>
                <w:rFonts w:ascii="Aptos" w:hAnsi="Aptos"/>
                <w:b w:val="0"/>
                <w:sz w:val="17"/>
              </w:rPr>
              <w:t>Acceptance criteria</w:t>
            </w:r>
          </w:p>
        </w:tc>
        <w:tc>
          <w:tcPr>
            <w:tcW w:type="dxa" w:w="5141"/>
            <w:vAlign w:val="center"/>
          </w:tcPr>
          <w:p>
            <w:r/>
            <w:r>
              <w:rPr>
                <w:rFonts w:ascii="Aptos" w:hAnsi="Aptos"/>
                <w:b w:val="0"/>
                <w:sz w:val="17"/>
              </w:rPr>
              <w:t>Formal criteria deferred</w:t>
            </w:r>
          </w:p>
        </w:tc>
      </w:tr>
      <w:tr>
        <w:tc>
          <w:tcPr>
            <w:tcW w:type="dxa" w:w="5141"/>
            <w:vAlign w:val="center"/>
          </w:tcPr>
          <w:p>
            <w:r/>
            <w:r>
              <w:rPr>
                <w:rFonts w:ascii="Aptos" w:hAnsi="Aptos"/>
                <w:b w:val="0"/>
                <w:sz w:val="17"/>
              </w:rPr>
              <w:t>Production or delivery claims</w:t>
            </w:r>
          </w:p>
        </w:tc>
        <w:tc>
          <w:tcPr>
            <w:tcW w:type="dxa" w:w="5141"/>
            <w:vAlign w:val="center"/>
          </w:tcPr>
          <w:p>
            <w:r/>
            <w:r>
              <w:rPr>
                <w:rFonts w:ascii="Aptos" w:hAnsi="Aptos"/>
                <w:b w:val="0"/>
                <w:sz w:val="17"/>
              </w:rPr>
              <w:t>None</w:t>
            </w:r>
          </w:p>
        </w:tc>
      </w:tr>
    </w:tbl>
    <w:p/>
    <w:p>
      <w:pPr>
        <w:pStyle w:val="Heading1"/>
      </w:pPr>
      <w:r>
        <w:t>7. Governance and Evidence Boundary</w:t>
      </w:r>
    </w:p>
    <w:p>
      <w:r>
        <w:t>I kept the F04 governance questions separate from the F01 content-authority finding, the F02 weather governance question, and the F03 safety model. F04 adds regional content validity, localisation, regulatory and operating-model questions. Pass 3 does not turn those questions into resolved decisions.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4F0"/>
          </w:tcPr>
          <w:p>
            <w:r/>
            <w:r>
              <w:rPr>
                <w:rFonts w:ascii="Aptos" w:hAnsi="Aptos"/>
                <w:b/>
                <w:sz w:val="17"/>
              </w:rPr>
              <w:t>Governance area</w:t>
            </w:r>
          </w:p>
        </w:tc>
        <w:tc>
          <w:tcPr>
            <w:tcW w:type="dxa" w:w="5141"/>
            <w:vAlign w:val="center"/>
            <w:shd w:fill="D9E4F0"/>
          </w:tcPr>
          <w:p>
            <w:r/>
            <w:r>
              <w:rPr>
                <w:rFonts w:ascii="Aptos" w:hAnsi="Aptos"/>
                <w:b/>
                <w:sz w:val="17"/>
              </w:rPr>
              <w:t>Current position</w:t>
            </w:r>
          </w:p>
        </w:tc>
      </w:tr>
      <w:tr>
        <w:tc>
          <w:tcPr>
            <w:tcW w:type="dxa" w:w="5141"/>
            <w:vAlign w:val="center"/>
          </w:tcPr>
          <w:p>
            <w:r/>
            <w:r>
              <w:rPr>
                <w:rFonts w:ascii="Aptos" w:hAnsi="Aptos"/>
                <w:b w:val="0"/>
                <w:sz w:val="17"/>
              </w:rPr>
              <w:t>Plant Science / Horticulture SME</w:t>
            </w:r>
          </w:p>
        </w:tc>
        <w:tc>
          <w:tcPr>
            <w:tcW w:type="dxa" w:w="5141"/>
            <w:vAlign w:val="center"/>
          </w:tcPr>
          <w:p>
            <w:r/>
            <w:r>
              <w:rPr>
                <w:rFonts w:ascii="Aptos" w:hAnsi="Aptos"/>
                <w:b w:val="0"/>
                <w:sz w:val="17"/>
              </w:rPr>
              <w:t>Future governance dependency</w:t>
            </w:r>
          </w:p>
        </w:tc>
      </w:tr>
      <w:tr>
        <w:tc>
          <w:tcPr>
            <w:tcW w:type="dxa" w:w="5141"/>
            <w:vAlign w:val="center"/>
          </w:tcPr>
          <w:p>
            <w:r/>
            <w:r>
              <w:rPr>
                <w:rFonts w:ascii="Aptos" w:hAnsi="Aptos"/>
                <w:b w:val="0"/>
                <w:sz w:val="17"/>
              </w:rPr>
              <w:t>Localisation / regional content expertise</w:t>
            </w:r>
          </w:p>
        </w:tc>
        <w:tc>
          <w:tcPr>
            <w:tcW w:type="dxa" w:w="5141"/>
            <w:vAlign w:val="center"/>
          </w:tcPr>
          <w:p>
            <w:r/>
            <w:r>
              <w:rPr>
                <w:rFonts w:ascii="Aptos" w:hAnsi="Aptos"/>
                <w:b w:val="0"/>
                <w:sz w:val="17"/>
              </w:rPr>
              <w:t>Open governance question</w:t>
            </w:r>
          </w:p>
        </w:tc>
      </w:tr>
      <w:tr>
        <w:tc>
          <w:tcPr>
            <w:tcW w:type="dxa" w:w="5141"/>
            <w:vAlign w:val="center"/>
          </w:tcPr>
          <w:p>
            <w:r/>
            <w:r>
              <w:rPr>
                <w:rFonts w:ascii="Aptos" w:hAnsi="Aptos"/>
                <w:b w:val="0"/>
                <w:sz w:val="17"/>
              </w:rPr>
              <w:t>Regulatory / market expertise</w:t>
            </w:r>
          </w:p>
        </w:tc>
        <w:tc>
          <w:tcPr>
            <w:tcW w:type="dxa" w:w="5141"/>
            <w:vAlign w:val="center"/>
          </w:tcPr>
          <w:p>
            <w:r/>
            <w:r>
              <w:rPr>
                <w:rFonts w:ascii="Aptos" w:hAnsi="Aptos"/>
                <w:b w:val="0"/>
                <w:sz w:val="17"/>
              </w:rPr>
              <w:t>Open governance question</w:t>
            </w:r>
          </w:p>
        </w:tc>
      </w:tr>
      <w:tr>
        <w:tc>
          <w:tcPr>
            <w:tcW w:type="dxa" w:w="5141"/>
            <w:vAlign w:val="center"/>
          </w:tcPr>
          <w:p>
            <w:r/>
            <w:r>
              <w:rPr>
                <w:rFonts w:ascii="Aptos" w:hAnsi="Aptos"/>
                <w:b w:val="0"/>
                <w:sz w:val="17"/>
              </w:rPr>
              <w:t>Technical / Data / Platform</w:t>
            </w:r>
          </w:p>
        </w:tc>
        <w:tc>
          <w:tcPr>
            <w:tcW w:type="dxa" w:w="5141"/>
            <w:vAlign w:val="center"/>
          </w:tcPr>
          <w:p>
            <w:r/>
            <w:r>
              <w:rPr>
                <w:rFonts w:ascii="Aptos" w:hAnsi="Aptos"/>
                <w:b w:val="0"/>
                <w:sz w:val="17"/>
              </w:rPr>
              <w:t>Delivery dependency, ownership TBD</w:t>
            </w:r>
          </w:p>
        </w:tc>
      </w:tr>
      <w:tr>
        <w:tc>
          <w:tcPr>
            <w:tcW w:type="dxa" w:w="5141"/>
            <w:vAlign w:val="center"/>
          </w:tcPr>
          <w:p>
            <w:r/>
            <w:r>
              <w:rPr>
                <w:rFonts w:ascii="Aptos" w:hAnsi="Aptos"/>
                <w:b w:val="0"/>
                <w:sz w:val="17"/>
              </w:rPr>
              <w:t>Content sources and provenance</w:t>
            </w:r>
          </w:p>
        </w:tc>
        <w:tc>
          <w:tcPr>
            <w:tcW w:type="dxa" w:w="5141"/>
            <w:vAlign w:val="center"/>
          </w:tcPr>
          <w:p>
            <w:r/>
            <w:r>
              <w:rPr>
                <w:rFonts w:ascii="Aptos" w:hAnsi="Aptos"/>
                <w:b w:val="0"/>
                <w:sz w:val="17"/>
              </w:rPr>
              <w:t>Open</w:t>
            </w:r>
          </w:p>
        </w:tc>
      </w:tr>
      <w:tr>
        <w:tc>
          <w:tcPr>
            <w:tcW w:type="dxa" w:w="5141"/>
            <w:vAlign w:val="center"/>
          </w:tcPr>
          <w:p>
            <w:r/>
            <w:r>
              <w:rPr>
                <w:rFonts w:ascii="Aptos" w:hAnsi="Aptos"/>
                <w:b w:val="0"/>
                <w:sz w:val="17"/>
              </w:rPr>
              <w:t>Regional scope</w:t>
            </w:r>
          </w:p>
        </w:tc>
        <w:tc>
          <w:tcPr>
            <w:tcW w:type="dxa" w:w="5141"/>
            <w:vAlign w:val="center"/>
          </w:tcPr>
          <w:p>
            <w:r/>
            <w:r>
              <w:rPr>
                <w:rFonts w:ascii="Aptos" w:hAnsi="Aptos"/>
                <w:b w:val="0"/>
                <w:sz w:val="17"/>
              </w:rPr>
              <w:t>Open</w:t>
            </w:r>
          </w:p>
        </w:tc>
      </w:tr>
      <w:tr>
        <w:tc>
          <w:tcPr>
            <w:tcW w:type="dxa" w:w="5141"/>
            <w:vAlign w:val="center"/>
          </w:tcPr>
          <w:p>
            <w:r/>
            <w:r>
              <w:rPr>
                <w:rFonts w:ascii="Aptos" w:hAnsi="Aptos"/>
                <w:b w:val="0"/>
                <w:sz w:val="17"/>
              </w:rPr>
              <w:t>Localisation model</w:t>
            </w:r>
          </w:p>
        </w:tc>
        <w:tc>
          <w:tcPr>
            <w:tcW w:type="dxa" w:w="5141"/>
            <w:vAlign w:val="center"/>
          </w:tcPr>
          <w:p>
            <w:r/>
            <w:r>
              <w:rPr>
                <w:rFonts w:ascii="Aptos" w:hAnsi="Aptos"/>
                <w:b w:val="0"/>
                <w:sz w:val="17"/>
              </w:rPr>
              <w:t>Open</w:t>
            </w:r>
          </w:p>
        </w:tc>
      </w:tr>
      <w:tr>
        <w:tc>
          <w:tcPr>
            <w:tcW w:type="dxa" w:w="5141"/>
            <w:vAlign w:val="center"/>
          </w:tcPr>
          <w:p>
            <w:r/>
            <w:r>
              <w:rPr>
                <w:rFonts w:ascii="Aptos" w:hAnsi="Aptos"/>
                <w:b w:val="0"/>
                <w:sz w:val="17"/>
              </w:rPr>
              <w:t>Regulatory boundary</w:t>
            </w:r>
          </w:p>
        </w:tc>
        <w:tc>
          <w:tcPr>
            <w:tcW w:type="dxa" w:w="5141"/>
            <w:vAlign w:val="center"/>
          </w:tcPr>
          <w:p>
            <w:r/>
            <w:r>
              <w:rPr>
                <w:rFonts w:ascii="Aptos" w:hAnsi="Aptos"/>
                <w:b w:val="0"/>
                <w:sz w:val="17"/>
              </w:rPr>
              <w:t>Open</w:t>
            </w:r>
          </w:p>
        </w:tc>
      </w:tr>
      <w:tr>
        <w:tc>
          <w:tcPr>
            <w:tcW w:type="dxa" w:w="5141"/>
            <w:vAlign w:val="center"/>
          </w:tcPr>
          <w:p>
            <w:r/>
            <w:r>
              <w:rPr>
                <w:rFonts w:ascii="Aptos" w:hAnsi="Aptos"/>
                <w:b w:val="0"/>
                <w:sz w:val="17"/>
              </w:rPr>
              <w:t>Operating model</w:t>
            </w:r>
          </w:p>
        </w:tc>
        <w:tc>
          <w:tcPr>
            <w:tcW w:type="dxa" w:w="5141"/>
            <w:vAlign w:val="center"/>
          </w:tcPr>
          <w:p>
            <w:r/>
            <w:r>
              <w:rPr>
                <w:rFonts w:ascii="Aptos" w:hAnsi="Aptos"/>
                <w:b w:val="0"/>
                <w:sz w:val="17"/>
              </w:rPr>
              <w:t>Open</w:t>
            </w:r>
          </w:p>
        </w:tc>
      </w:tr>
      <w:tr>
        <w:tc>
          <w:tcPr>
            <w:tcW w:type="dxa" w:w="5141"/>
            <w:vAlign w:val="center"/>
          </w:tcPr>
          <w:p>
            <w:r/>
            <w:r>
              <w:rPr>
                <w:rFonts w:ascii="Aptos" w:hAnsi="Aptos"/>
                <w:b w:val="0"/>
                <w:sz w:val="17"/>
              </w:rPr>
              <w:t>Priority</w:t>
            </w:r>
          </w:p>
        </w:tc>
        <w:tc>
          <w:tcPr>
            <w:tcW w:type="dxa" w:w="5141"/>
            <w:vAlign w:val="center"/>
          </w:tcPr>
          <w:p>
            <w:r/>
            <w:r>
              <w:rPr>
                <w:rFonts w:ascii="Aptos" w:hAnsi="Aptos"/>
                <w:b w:val="0"/>
                <w:sz w:val="17"/>
              </w:rPr>
              <w:t>Open</w:t>
            </w:r>
          </w:p>
        </w:tc>
      </w:tr>
    </w:tbl>
    <w:p/>
    <w:p>
      <w:pPr>
        <w:pStyle w:val="Heading1"/>
      </w:pPr>
      <w:r>
        <w:t>8. QA Decision</w:t>
      </w:r>
    </w:p>
    <w:p>
      <w:r>
        <w:t>PASS. F04 Pass 3 is consistent with Pass 2 and the revalidated future-state source set. The constrained translation posture is preserved. The nine-gate model is internally consistent and does not require reconciliation with F03's ten-gate model.</w:t>
      </w:r>
    </w:p>
    <w:p>
      <w:r>
        <w:t>F04 remains gated discovery. No future requirement or story IDs are authorised. The next controlled stage is Pass 5 Portfolio Packaging after this QA result is accepted.</w:t>
      </w:r>
    </w:p>
    <w:p>
      <w:pPr>
        <w:pStyle w:val="Heading1"/>
      </w:pPr>
      <w:r>
        <w:t>9. Evidence Boundary</w:t>
      </w:r>
    </w:p>
    <w:p>
      <w:r>
        <w:t>This QA package demonstrates cross-artifact consistency review. It does not establish product acceptance, production readiness, build completion, sprint delivery, realised benefits, or regulatory approval.</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EcoGrow Future-State Discovery | EPIC-F04 | Cross-Artifact QA | Pass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EcoGrow Future-State Discovery | EPIC-F04 | Pass 4 | Doris Frank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EcoGrow EPIC-F04 Global Plant Intelligence | Cross-Artifact QA | Pass 4</dc:title>
  <dc:subject/>
  <dc:creator>Doris Frank</dc:creator>
  <cp:keywords/>
  <dc:description>generated by python-docx</dc:description>
  <cp:lastModifiedBy/>
  <cp:revision>1</cp:revision>
  <dcterms:created xsi:type="dcterms:W3CDTF">2013-12-23T23:15:00Z</dcterms:created>
  <dcterms:modified xsi:type="dcterms:W3CDTF">2013-12-23T23:15:00Z</dcterms:modified>
  <cp:category/>
</cp:coreProperties>
</file>