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EcoGrow Future-State Discovery</w:t>
        <w:br/>
      </w:r>
      <w:r>
        <w:rPr>
          <w:b/>
        </w:rPr>
        <w:t>EPIC-F04 Global Plant Intelligence | Deep Discovery | Pass 2</w:t>
      </w:r>
    </w:p>
    <w:p>
      <w:pPr>
        <w:spacing w:after="80"/>
      </w:pPr>
      <w:r>
        <w:t>Prepared by Doris Frank, Business Analyst</w:t>
      </w:r>
    </w:p>
    <w:p>
      <w:r>
        <w:rPr>
          <w:b/>
        </w:rPr>
        <w:t>Status: Future-state discovery only. This pass does not amend the locked MVP, create Jira commitments, or represent built functionality.</w:t>
      </w:r>
    </w:p>
    <w:p>
      <w:pPr>
        <w:pStyle w:val="Heading1"/>
        <w:spacing w:before="160" w:after="60"/>
      </w:pPr>
      <w:r>
        <w:t>1. Discovery Control</w:t>
      </w:r>
    </w:p>
    <w:tbl>
      <w:tblPr>
        <w:tblStyle w:val="TableGrid"/>
        <w:tblW w:type="auto" w:w="0"/>
        <w:jc w:val="center"/>
        <w:tblLook w:firstColumn="1" w:firstRow="1" w:lastColumn="0" w:lastRow="0" w:noHBand="0" w:noVBand="1" w:val="04A0"/>
      </w:tblPr>
      <w:tblGrid>
        <w:gridCol w:w="5112"/>
        <w:gridCol w:w="5112"/>
      </w:tblGrid>
      <w:tr>
        <w:trPr>
          <w:cantSplit/>
        </w:trPr>
        <w:tc>
          <w:tcPr>
            <w:tcW w:type="dxa" w:w="2232"/>
            <w:vAlign w:val="center"/>
            <w:shd w:fill="D9E2F3"/>
          </w:tcPr>
          <w:p>
            <w:r/>
            <w:r>
              <w:rPr>
                <w:rFonts w:ascii="Aptos" w:hAnsi="Aptos"/>
                <w:b/>
                <w:sz w:val="17"/>
              </w:rPr>
              <w:t>Dimension</w:t>
            </w:r>
          </w:p>
        </w:tc>
        <w:tc>
          <w:tcPr>
            <w:tcW w:type="dxa" w:w="7992"/>
            <w:vAlign w:val="center"/>
            <w:shd w:fill="D9E2F3"/>
          </w:tcPr>
          <w:p>
            <w:r/>
            <w:r>
              <w:rPr>
                <w:rFonts w:ascii="Aptos" w:hAnsi="Aptos"/>
                <w:b/>
                <w:sz w:val="17"/>
              </w:rPr>
              <w:t>Current position</w:t>
            </w:r>
          </w:p>
        </w:tc>
      </w:tr>
      <w:tr>
        <w:trPr>
          <w:cantSplit/>
        </w:trPr>
        <w:tc>
          <w:tcPr>
            <w:tcW w:type="dxa" w:w="2232"/>
            <w:vAlign w:val="center"/>
          </w:tcPr>
          <w:p>
            <w:r/>
            <w:r>
              <w:rPr>
                <w:rFonts w:ascii="Aptos" w:hAnsi="Aptos"/>
                <w:b w:val="0"/>
                <w:sz w:val="17"/>
              </w:rPr>
              <w:t>Future epic</w:t>
            </w:r>
          </w:p>
        </w:tc>
        <w:tc>
          <w:tcPr>
            <w:tcW w:type="dxa" w:w="7992"/>
            <w:vAlign w:val="center"/>
          </w:tcPr>
          <w:p>
            <w:r/>
            <w:r>
              <w:rPr>
                <w:rFonts w:ascii="Aptos" w:hAnsi="Aptos"/>
                <w:b w:val="0"/>
                <w:sz w:val="17"/>
              </w:rPr>
              <w:t>EPIC-F04 Global Plant Intelligence</w:t>
            </w:r>
          </w:p>
        </w:tc>
      </w:tr>
      <w:tr>
        <w:trPr>
          <w:cantSplit/>
        </w:trPr>
        <w:tc>
          <w:tcPr>
            <w:tcW w:type="dxa" w:w="2232"/>
            <w:vAlign w:val="center"/>
          </w:tcPr>
          <w:p>
            <w:r/>
            <w:r>
              <w:rPr>
                <w:rFonts w:ascii="Aptos" w:hAnsi="Aptos"/>
                <w:b w:val="0"/>
                <w:sz w:val="17"/>
              </w:rPr>
              <w:t>Purpose</w:t>
            </w:r>
          </w:p>
        </w:tc>
        <w:tc>
          <w:tcPr>
            <w:tcW w:type="dxa" w:w="7992"/>
            <w:vAlign w:val="center"/>
          </w:tcPr>
          <w:p>
            <w:r/>
            <w:r>
              <w:rPr>
                <w:rFonts w:ascii="Aptos" w:hAnsi="Aptos"/>
                <w:b w:val="0"/>
                <w:sz w:val="17"/>
              </w:rPr>
              <w:t>Explore whether EcoGrow can expand plant knowledge and regional plant intelligence across geographies.</w:t>
            </w:r>
          </w:p>
        </w:tc>
      </w:tr>
      <w:tr>
        <w:trPr>
          <w:cantSplit/>
        </w:trPr>
        <w:tc>
          <w:tcPr>
            <w:tcW w:type="dxa" w:w="2232"/>
            <w:vAlign w:val="center"/>
          </w:tcPr>
          <w:p>
            <w:r/>
            <w:r>
              <w:rPr>
                <w:rFonts w:ascii="Aptos" w:hAnsi="Aptos"/>
                <w:b w:val="0"/>
                <w:sz w:val="17"/>
              </w:rPr>
              <w:t>Discovery status</w:t>
            </w:r>
          </w:p>
        </w:tc>
        <w:tc>
          <w:tcPr>
            <w:tcW w:type="dxa" w:w="7992"/>
            <w:vAlign w:val="center"/>
          </w:tcPr>
          <w:p>
            <w:r/>
            <w:r>
              <w:rPr>
                <w:rFonts w:ascii="Aptos" w:hAnsi="Aptos"/>
                <w:b w:val="0"/>
                <w:sz w:val="17"/>
              </w:rPr>
              <w:t>Candidate future capability. No Jira stories or future requirement IDs yet.</w:t>
            </w:r>
          </w:p>
        </w:tc>
      </w:tr>
      <w:tr>
        <w:trPr>
          <w:cantSplit/>
        </w:trPr>
        <w:tc>
          <w:tcPr>
            <w:tcW w:type="dxa" w:w="2232"/>
            <w:vAlign w:val="center"/>
          </w:tcPr>
          <w:p>
            <w:r/>
            <w:r>
              <w:rPr>
                <w:rFonts w:ascii="Aptos" w:hAnsi="Aptos"/>
                <w:b w:val="0"/>
                <w:sz w:val="17"/>
              </w:rPr>
              <w:t>Primary boundary</w:t>
            </w:r>
          </w:p>
        </w:tc>
        <w:tc>
          <w:tcPr>
            <w:tcW w:type="dxa" w:w="7992"/>
            <w:vAlign w:val="center"/>
          </w:tcPr>
          <w:p>
            <w:r/>
            <w:r>
              <w:rPr>
                <w:rFonts w:ascii="Aptos" w:hAnsi="Aptos"/>
                <w:b w:val="0"/>
                <w:sz w:val="17"/>
              </w:rPr>
              <w:t>Global plant knowledge is outside the current MVP and must not become a proxy for platform scale, personalisation, weather, or plant-health delivery.</w:t>
            </w:r>
          </w:p>
        </w:tc>
      </w:tr>
      <w:tr>
        <w:trPr>
          <w:cantSplit/>
        </w:trPr>
        <w:tc>
          <w:tcPr>
            <w:tcW w:type="dxa" w:w="2232"/>
            <w:vAlign w:val="center"/>
          </w:tcPr>
          <w:p>
            <w:r/>
            <w:r>
              <w:rPr>
                <w:rFonts w:ascii="Aptos" w:hAnsi="Aptos"/>
                <w:b w:val="0"/>
                <w:sz w:val="17"/>
              </w:rPr>
              <w:t>Key dependencies</w:t>
            </w:r>
          </w:p>
        </w:tc>
        <w:tc>
          <w:tcPr>
            <w:tcW w:type="dxa" w:w="7992"/>
            <w:vAlign w:val="center"/>
          </w:tcPr>
          <w:p>
            <w:r/>
            <w:r>
              <w:rPr>
                <w:rFonts w:ascii="Aptos" w:hAnsi="Aptos"/>
                <w:b w:val="0"/>
                <w:sz w:val="17"/>
              </w:rPr>
              <w:t>Plant knowledge sources, species and variety coverage, regional context, climate and growing-season context, localisation, data quality, regulatory assessment and operating-model readiness.</w:t>
            </w:r>
          </w:p>
        </w:tc>
      </w:tr>
      <w:tr>
        <w:trPr>
          <w:cantSplit/>
        </w:trPr>
        <w:tc>
          <w:tcPr>
            <w:tcW w:type="dxa" w:w="2232"/>
            <w:vAlign w:val="center"/>
          </w:tcPr>
          <w:p>
            <w:r/>
            <w:r>
              <w:rPr>
                <w:rFonts w:ascii="Aptos" w:hAnsi="Aptos"/>
                <w:b w:val="0"/>
                <w:sz w:val="17"/>
              </w:rPr>
              <w:t>Primary governance question</w:t>
            </w:r>
          </w:p>
        </w:tc>
        <w:tc>
          <w:tcPr>
            <w:tcW w:type="dxa" w:w="7992"/>
            <w:vAlign w:val="center"/>
          </w:tcPr>
          <w:p>
            <w:r/>
            <w:r>
              <w:rPr>
                <w:rFonts w:ascii="Aptos" w:hAnsi="Aptos"/>
                <w:b w:val="0"/>
                <w:sz w:val="17"/>
              </w:rPr>
              <w:t>What plant knowledge can EcoGrow responsibly maintain and present across regions, and what content, regulatory and operating-model controls are required?</w:t>
            </w:r>
          </w:p>
        </w:tc>
      </w:tr>
    </w:tbl>
    <w:p>
      <w:pPr>
        <w:spacing w:after="40"/>
      </w:pPr>
    </w:p>
    <w:p>
      <w:pPr>
        <w:pStyle w:val="Heading1"/>
        <w:spacing w:before="160" w:after="60"/>
      </w:pPr>
      <w:r>
        <w:t>2. Opportunity and User Need</w:t>
      </w:r>
    </w:p>
    <w:p>
      <w:pPr>
        <w:spacing w:after="80"/>
      </w:pPr>
      <w:r>
        <w:t>Opportunity. The revalidated future-state scope identifies Global Plant Intelligence / regional plant knowledge as a new opportunity. The concept is to expand plant knowledge beyond a generic catalogue by accounting for species, variety, regional, climate and growing-season context.</w:t>
      </w:r>
    </w:p>
    <w:p>
      <w:pPr>
        <w:spacing w:after="80"/>
      </w:pPr>
      <w:r>
        <w:t>User need hypothesis. A gardener may receive more useful plant information when the content reflects the plant type and the context in which that plant is grown, rather than relying on one globally generic description.</w:t>
      </w:r>
    </w:p>
    <w:p>
      <w:pPr>
        <w:spacing w:after="80"/>
      </w:pPr>
      <w:r>
        <w:t>Business value hypothesis. Better regional relevance could increase the usefulness, trust and reach of EcoGrow plant information. These remain hypotheses until validated.</w:t>
      </w:r>
    </w:p>
    <w:p>
      <w:pPr>
        <w:pStyle w:val="Heading1"/>
        <w:spacing w:before="160" w:after="60"/>
      </w:pPr>
      <w:r>
        <w:t>3. F04 Capability Boundary</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376"/>
            <w:vAlign w:val="center"/>
            <w:shd w:fill="D9E2F3"/>
          </w:tcPr>
          <w:p>
            <w:r/>
            <w:r>
              <w:rPr>
                <w:rFonts w:ascii="Aptos" w:hAnsi="Aptos"/>
                <w:b/>
                <w:sz w:val="17"/>
              </w:rPr>
              <w:t>Feature candidate</w:t>
            </w:r>
          </w:p>
        </w:tc>
        <w:tc>
          <w:tcPr>
            <w:tcW w:type="dxa" w:w="1440"/>
            <w:vAlign w:val="center"/>
            <w:shd w:fill="D9E2F3"/>
          </w:tcPr>
          <w:p>
            <w:r/>
            <w:r>
              <w:rPr>
                <w:rFonts w:ascii="Aptos" w:hAnsi="Aptos"/>
                <w:b/>
                <w:sz w:val="17"/>
              </w:rPr>
              <w:t>Discovery position</w:t>
            </w:r>
          </w:p>
        </w:tc>
        <w:tc>
          <w:tcPr>
            <w:tcW w:type="dxa" w:w="6408"/>
            <w:vAlign w:val="center"/>
            <w:shd w:fill="D9E2F3"/>
          </w:tcPr>
          <w:p>
            <w:r/>
            <w:r>
              <w:rPr>
                <w:rFonts w:ascii="Aptos" w:hAnsi="Aptos"/>
                <w:b/>
                <w:sz w:val="17"/>
              </w:rPr>
              <w:t>Boundary</w:t>
            </w:r>
          </w:p>
        </w:tc>
      </w:tr>
      <w:tr>
        <w:trPr>
          <w:cantSplit/>
        </w:trPr>
        <w:tc>
          <w:tcPr>
            <w:tcW w:type="dxa" w:w="2376"/>
            <w:vAlign w:val="center"/>
          </w:tcPr>
          <w:p>
            <w:r/>
            <w:r>
              <w:rPr>
                <w:rFonts w:ascii="Aptos" w:hAnsi="Aptos"/>
                <w:b w:val="0"/>
                <w:sz w:val="17"/>
              </w:rPr>
              <w:t>F04.1 Plant Knowledge Expansion</w:t>
            </w:r>
          </w:p>
        </w:tc>
        <w:tc>
          <w:tcPr>
            <w:tcW w:type="dxa" w:w="1440"/>
            <w:vAlign w:val="center"/>
          </w:tcPr>
          <w:p>
            <w:r/>
            <w:r>
              <w:rPr>
                <w:rFonts w:ascii="Aptos" w:hAnsi="Aptos"/>
                <w:b w:val="0"/>
                <w:sz w:val="17"/>
              </w:rPr>
              <w:t>Candidate</w:t>
            </w:r>
          </w:p>
        </w:tc>
        <w:tc>
          <w:tcPr>
            <w:tcW w:type="dxa" w:w="6408"/>
            <w:vAlign w:val="center"/>
          </w:tcPr>
          <w:p>
            <w:r/>
            <w:r>
              <w:rPr>
                <w:rFonts w:ascii="Aptos" w:hAnsi="Aptos"/>
                <w:b w:val="0"/>
                <w:sz w:val="17"/>
              </w:rPr>
              <w:t>Explore how EcoGrow could broaden species and variety knowledge. Do not assume a final taxonomy, source set or completeness standard yet.</w:t>
            </w:r>
          </w:p>
        </w:tc>
      </w:tr>
      <w:tr>
        <w:trPr>
          <w:cantSplit/>
        </w:trPr>
        <w:tc>
          <w:tcPr>
            <w:tcW w:type="dxa" w:w="2376"/>
            <w:vAlign w:val="center"/>
          </w:tcPr>
          <w:p>
            <w:r/>
            <w:r>
              <w:rPr>
                <w:rFonts w:ascii="Aptos" w:hAnsi="Aptos"/>
                <w:b w:val="0"/>
                <w:sz w:val="17"/>
              </w:rPr>
              <w:t>F04.2 Regional Plant Context</w:t>
            </w:r>
          </w:p>
        </w:tc>
        <w:tc>
          <w:tcPr>
            <w:tcW w:type="dxa" w:w="1440"/>
            <w:vAlign w:val="center"/>
          </w:tcPr>
          <w:p>
            <w:r/>
            <w:r>
              <w:rPr>
                <w:rFonts w:ascii="Aptos" w:hAnsi="Aptos"/>
                <w:b w:val="0"/>
                <w:sz w:val="17"/>
              </w:rPr>
              <w:t>Candidate</w:t>
            </w:r>
          </w:p>
        </w:tc>
        <w:tc>
          <w:tcPr>
            <w:tcW w:type="dxa" w:w="6408"/>
            <w:vAlign w:val="center"/>
          </w:tcPr>
          <w:p>
            <w:r/>
            <w:r>
              <w:rPr>
                <w:rFonts w:ascii="Aptos" w:hAnsi="Aptos"/>
                <w:b w:val="0"/>
                <w:sz w:val="17"/>
              </w:rPr>
              <w:t>Explore which regional attributes materially change plant information. Do not assume universal regional rules across all geographies.</w:t>
            </w:r>
          </w:p>
        </w:tc>
      </w:tr>
      <w:tr>
        <w:trPr>
          <w:cantSplit/>
        </w:trPr>
        <w:tc>
          <w:tcPr>
            <w:tcW w:type="dxa" w:w="2376"/>
            <w:vAlign w:val="center"/>
          </w:tcPr>
          <w:p>
            <w:r/>
            <w:r>
              <w:rPr>
                <w:rFonts w:ascii="Aptos" w:hAnsi="Aptos"/>
                <w:b w:val="0"/>
                <w:sz w:val="17"/>
              </w:rPr>
              <w:t>F04.3 Climate and Growing-Season Context</w:t>
            </w:r>
          </w:p>
        </w:tc>
        <w:tc>
          <w:tcPr>
            <w:tcW w:type="dxa" w:w="1440"/>
            <w:vAlign w:val="center"/>
          </w:tcPr>
          <w:p>
            <w:r/>
            <w:r>
              <w:rPr>
                <w:rFonts w:ascii="Aptos" w:hAnsi="Aptos"/>
                <w:b w:val="0"/>
                <w:sz w:val="17"/>
              </w:rPr>
              <w:t>Candidate</w:t>
            </w:r>
          </w:p>
        </w:tc>
        <w:tc>
          <w:tcPr>
            <w:tcW w:type="dxa" w:w="6408"/>
            <w:vAlign w:val="center"/>
          </w:tcPr>
          <w:p>
            <w:r/>
            <w:r>
              <w:rPr>
                <w:rFonts w:ascii="Aptos" w:hAnsi="Aptos"/>
                <w:b w:val="0"/>
                <w:sz w:val="17"/>
              </w:rPr>
              <w:t>Explore how climate and growing-season context could influence plant information. Weather-driven, real-time guidance remains EPIC-F02.</w:t>
            </w:r>
          </w:p>
        </w:tc>
      </w:tr>
      <w:tr>
        <w:trPr>
          <w:cantSplit/>
        </w:trPr>
        <w:tc>
          <w:tcPr>
            <w:tcW w:type="dxa" w:w="2376"/>
            <w:vAlign w:val="center"/>
          </w:tcPr>
          <w:p>
            <w:r/>
            <w:r>
              <w:rPr>
                <w:rFonts w:ascii="Aptos" w:hAnsi="Aptos"/>
                <w:b w:val="0"/>
                <w:sz w:val="17"/>
              </w:rPr>
              <w:t>F04.4 Localisation and Content Adaptation</w:t>
            </w:r>
          </w:p>
        </w:tc>
        <w:tc>
          <w:tcPr>
            <w:tcW w:type="dxa" w:w="1440"/>
            <w:vAlign w:val="center"/>
          </w:tcPr>
          <w:p>
            <w:r/>
            <w:r>
              <w:rPr>
                <w:rFonts w:ascii="Aptos" w:hAnsi="Aptos"/>
                <w:b w:val="0"/>
                <w:sz w:val="17"/>
              </w:rPr>
              <w:t>Candidate</w:t>
            </w:r>
          </w:p>
        </w:tc>
        <w:tc>
          <w:tcPr>
            <w:tcW w:type="dxa" w:w="6408"/>
            <w:vAlign w:val="center"/>
          </w:tcPr>
          <w:p>
            <w:r/>
            <w:r>
              <w:rPr>
                <w:rFonts w:ascii="Aptos" w:hAnsi="Aptos"/>
                <w:b w:val="0"/>
                <w:sz w:val="17"/>
              </w:rPr>
              <w:t>Explore language, terminology, measurement, regional presentation and content-maintenance needs. Do not assume that translation alone makes content locally valid.</w:t>
            </w:r>
          </w:p>
        </w:tc>
      </w:tr>
    </w:tbl>
    <w:p>
      <w:pPr>
        <w:spacing w:after="40"/>
      </w:pPr>
    </w:p>
    <w:p>
      <w:pPr>
        <w:spacing w:after="80"/>
      </w:pPr>
      <w:r>
        <w:t>Explicit exclusions. EPIC-F01 plant-specific care and watering remains separate. EPIC-F02 weather-aware context remains separate. EPIC-F03 plant-health identification and treatment remains separate. EPIC-F05 personalised gardener profiles remain separate. EPIC-F06 platform scalability and global readiness remains the broader system and business-case capability. Chemical or pesticide guidance is not introduced through F04.</w:t>
      </w:r>
    </w:p>
    <w:p>
      <w:pPr>
        <w:pStyle w:val="Heading1"/>
        <w:spacing w:before="160" w:after="60"/>
      </w:pPr>
      <w:r>
        <w:t>4. Discovery Hypotheses and Open Questions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944"/>
            <w:vAlign w:val="center"/>
            <w:shd w:fill="D9E2F3"/>
          </w:tcPr>
          <w:p>
            <w:r/>
            <w:r>
              <w:rPr>
                <w:rFonts w:ascii="Aptos" w:hAnsi="Aptos"/>
                <w:b/>
                <w:sz w:val="17"/>
              </w:rPr>
              <w:t>Area</w:t>
            </w:r>
          </w:p>
        </w:tc>
        <w:tc>
          <w:tcPr>
            <w:tcW w:type="dxa" w:w="6696"/>
            <w:vAlign w:val="center"/>
            <w:shd w:fill="D9E2F3"/>
          </w:tcPr>
          <w:p>
            <w:r/>
            <w:r>
              <w:rPr>
                <w:rFonts w:ascii="Aptos" w:hAnsi="Aptos"/>
                <w:b/>
                <w:sz w:val="17"/>
              </w:rPr>
              <w:t>Question to resolve</w:t>
            </w:r>
          </w:p>
        </w:tc>
        <w:tc>
          <w:tcPr>
            <w:tcW w:type="dxa" w:w="1584"/>
            <w:vAlign w:val="center"/>
            <w:shd w:fill="D9E2F3"/>
          </w:tcPr>
          <w:p>
            <w:r/>
            <w:r>
              <w:rPr>
                <w:rFonts w:ascii="Aptos" w:hAnsi="Aptos"/>
                <w:b/>
                <w:sz w:val="17"/>
              </w:rPr>
              <w:t>Status</w:t>
            </w:r>
          </w:p>
        </w:tc>
      </w:tr>
      <w:tr>
        <w:trPr>
          <w:cantSplit/>
        </w:trPr>
        <w:tc>
          <w:tcPr>
            <w:tcW w:type="dxa" w:w="1944"/>
            <w:vAlign w:val="center"/>
          </w:tcPr>
          <w:p>
            <w:r/>
            <w:r>
              <w:rPr>
                <w:rFonts w:ascii="Aptos" w:hAnsi="Aptos"/>
                <w:b w:val="0"/>
                <w:sz w:val="17"/>
              </w:rPr>
              <w:t>Knowledge coverage</w:t>
            </w:r>
          </w:p>
        </w:tc>
        <w:tc>
          <w:tcPr>
            <w:tcW w:type="dxa" w:w="6696"/>
            <w:vAlign w:val="center"/>
          </w:tcPr>
          <w:p>
            <w:r/>
            <w:r>
              <w:rPr>
                <w:rFonts w:ascii="Aptos" w:hAnsi="Aptos"/>
                <w:b w:val="0"/>
                <w:sz w:val="17"/>
              </w:rPr>
              <w:t>Which plant species and varieties matter most for the target user segments and markets?</w:t>
            </w:r>
          </w:p>
        </w:tc>
        <w:tc>
          <w:tcPr>
            <w:tcW w:type="dxa" w:w="1584"/>
            <w:vAlign w:val="center"/>
          </w:tcPr>
          <w:p>
            <w:r/>
            <w:r>
              <w:rPr>
                <w:rFonts w:ascii="Aptos" w:hAnsi="Aptos"/>
                <w:b w:val="0"/>
                <w:sz w:val="17"/>
              </w:rPr>
              <w:t>Open question</w:t>
            </w:r>
          </w:p>
        </w:tc>
      </w:tr>
      <w:tr>
        <w:trPr>
          <w:cantSplit/>
        </w:trPr>
        <w:tc>
          <w:tcPr>
            <w:tcW w:type="dxa" w:w="1944"/>
            <w:vAlign w:val="center"/>
          </w:tcPr>
          <w:p>
            <w:r/>
            <w:r>
              <w:rPr>
                <w:rFonts w:ascii="Aptos" w:hAnsi="Aptos"/>
                <w:b w:val="0"/>
                <w:sz w:val="17"/>
              </w:rPr>
              <w:t>Source authority</w:t>
            </w:r>
          </w:p>
        </w:tc>
        <w:tc>
          <w:tcPr>
            <w:tcW w:type="dxa" w:w="6696"/>
            <w:vAlign w:val="center"/>
          </w:tcPr>
          <w:p>
            <w:r/>
            <w:r>
              <w:rPr>
                <w:rFonts w:ascii="Aptos" w:hAnsi="Aptos"/>
                <w:b w:val="0"/>
                <w:sz w:val="17"/>
              </w:rPr>
              <w:t>Which sources can support trusted plant knowledge, and who validates the content?</w:t>
            </w:r>
          </w:p>
        </w:tc>
        <w:tc>
          <w:tcPr>
            <w:tcW w:type="dxa" w:w="1584"/>
            <w:vAlign w:val="center"/>
          </w:tcPr>
          <w:p>
            <w:r/>
            <w:r>
              <w:rPr>
                <w:rFonts w:ascii="Aptos" w:hAnsi="Aptos"/>
                <w:b w:val="0"/>
                <w:sz w:val="17"/>
              </w:rPr>
              <w:t>Open question</w:t>
            </w:r>
          </w:p>
        </w:tc>
      </w:tr>
      <w:tr>
        <w:trPr>
          <w:cantSplit/>
        </w:trPr>
        <w:tc>
          <w:tcPr>
            <w:tcW w:type="dxa" w:w="1944"/>
            <w:vAlign w:val="center"/>
          </w:tcPr>
          <w:p>
            <w:r/>
            <w:r>
              <w:rPr>
                <w:rFonts w:ascii="Aptos" w:hAnsi="Aptos"/>
                <w:b w:val="0"/>
                <w:sz w:val="17"/>
              </w:rPr>
              <w:t>Data model</w:t>
            </w:r>
          </w:p>
        </w:tc>
        <w:tc>
          <w:tcPr>
            <w:tcW w:type="dxa" w:w="6696"/>
            <w:vAlign w:val="center"/>
          </w:tcPr>
          <w:p>
            <w:r/>
            <w:r>
              <w:rPr>
                <w:rFonts w:ascii="Aptos" w:hAnsi="Aptos"/>
                <w:b w:val="0"/>
                <w:sz w:val="17"/>
              </w:rPr>
              <w:t>How should species, varieties, synonyms, regional names and related attributes be represented?</w:t>
            </w:r>
          </w:p>
        </w:tc>
        <w:tc>
          <w:tcPr>
            <w:tcW w:type="dxa" w:w="1584"/>
            <w:vAlign w:val="center"/>
          </w:tcPr>
          <w:p>
            <w:r/>
            <w:r>
              <w:rPr>
                <w:rFonts w:ascii="Aptos" w:hAnsi="Aptos"/>
                <w:b w:val="0"/>
                <w:sz w:val="17"/>
              </w:rPr>
              <w:t>Open question</w:t>
            </w:r>
          </w:p>
        </w:tc>
      </w:tr>
      <w:tr>
        <w:trPr>
          <w:cantSplit/>
        </w:trPr>
        <w:tc>
          <w:tcPr>
            <w:tcW w:type="dxa" w:w="1944"/>
            <w:vAlign w:val="center"/>
          </w:tcPr>
          <w:p>
            <w:r/>
            <w:r>
              <w:rPr>
                <w:rFonts w:ascii="Aptos" w:hAnsi="Aptos"/>
                <w:b w:val="0"/>
                <w:sz w:val="17"/>
              </w:rPr>
              <w:t>Regional context</w:t>
            </w:r>
          </w:p>
        </w:tc>
        <w:tc>
          <w:tcPr>
            <w:tcW w:type="dxa" w:w="6696"/>
            <w:vAlign w:val="center"/>
          </w:tcPr>
          <w:p>
            <w:r/>
            <w:r>
              <w:rPr>
                <w:rFonts w:ascii="Aptos" w:hAnsi="Aptos"/>
                <w:b w:val="0"/>
                <w:sz w:val="17"/>
              </w:rPr>
              <w:t>Which regional differences materially change the meaning or usefulness of plant information?</w:t>
            </w:r>
          </w:p>
        </w:tc>
        <w:tc>
          <w:tcPr>
            <w:tcW w:type="dxa" w:w="1584"/>
            <w:vAlign w:val="center"/>
          </w:tcPr>
          <w:p>
            <w:r/>
            <w:r>
              <w:rPr>
                <w:rFonts w:ascii="Aptos" w:hAnsi="Aptos"/>
                <w:b w:val="0"/>
                <w:sz w:val="17"/>
              </w:rPr>
              <w:t>Open question</w:t>
            </w:r>
          </w:p>
        </w:tc>
      </w:tr>
      <w:tr>
        <w:trPr>
          <w:cantSplit/>
        </w:trPr>
        <w:tc>
          <w:tcPr>
            <w:tcW w:type="dxa" w:w="1944"/>
            <w:vAlign w:val="center"/>
          </w:tcPr>
          <w:p>
            <w:r/>
            <w:r>
              <w:rPr>
                <w:rFonts w:ascii="Aptos" w:hAnsi="Aptos"/>
                <w:b w:val="0"/>
                <w:sz w:val="17"/>
              </w:rPr>
              <w:t>Climate / growing season</w:t>
            </w:r>
          </w:p>
        </w:tc>
        <w:tc>
          <w:tcPr>
            <w:tcW w:type="dxa" w:w="6696"/>
            <w:vAlign w:val="center"/>
          </w:tcPr>
          <w:p>
            <w:r/>
            <w:r>
              <w:rPr>
                <w:rFonts w:ascii="Aptos" w:hAnsi="Aptos"/>
                <w:b w:val="0"/>
                <w:sz w:val="17"/>
              </w:rPr>
              <w:t>Which climate and growing-season attributes are reliable enough to include?</w:t>
            </w:r>
          </w:p>
        </w:tc>
        <w:tc>
          <w:tcPr>
            <w:tcW w:type="dxa" w:w="1584"/>
            <w:vAlign w:val="center"/>
          </w:tcPr>
          <w:p>
            <w:r/>
            <w:r>
              <w:rPr>
                <w:rFonts w:ascii="Aptos" w:hAnsi="Aptos"/>
                <w:b w:val="0"/>
                <w:sz w:val="17"/>
              </w:rPr>
              <w:t>Open question</w:t>
            </w:r>
          </w:p>
        </w:tc>
      </w:tr>
      <w:tr>
        <w:trPr>
          <w:cantSplit/>
        </w:trPr>
        <w:tc>
          <w:tcPr>
            <w:tcW w:type="dxa" w:w="1944"/>
            <w:vAlign w:val="center"/>
          </w:tcPr>
          <w:p>
            <w:r/>
            <w:r>
              <w:rPr>
                <w:rFonts w:ascii="Aptos" w:hAnsi="Aptos"/>
                <w:b w:val="0"/>
                <w:sz w:val="17"/>
              </w:rPr>
              <w:t>Localisation</w:t>
            </w:r>
          </w:p>
        </w:tc>
        <w:tc>
          <w:tcPr>
            <w:tcW w:type="dxa" w:w="6696"/>
            <w:vAlign w:val="center"/>
          </w:tcPr>
          <w:p>
            <w:r/>
            <w:r>
              <w:rPr>
                <w:rFonts w:ascii="Aptos" w:hAnsi="Aptos"/>
                <w:b w:val="0"/>
                <w:sz w:val="17"/>
              </w:rPr>
              <w:t>Which languages, measurements, terminology and local conventions are required for the selected markets?</w:t>
            </w:r>
          </w:p>
        </w:tc>
        <w:tc>
          <w:tcPr>
            <w:tcW w:type="dxa" w:w="1584"/>
            <w:vAlign w:val="center"/>
          </w:tcPr>
          <w:p>
            <w:r/>
            <w:r>
              <w:rPr>
                <w:rFonts w:ascii="Aptos" w:hAnsi="Aptos"/>
                <w:b w:val="0"/>
                <w:sz w:val="17"/>
              </w:rPr>
              <w:t>Open question</w:t>
            </w:r>
          </w:p>
        </w:tc>
      </w:tr>
      <w:tr>
        <w:trPr>
          <w:cantSplit/>
        </w:trPr>
        <w:tc>
          <w:tcPr>
            <w:tcW w:type="dxa" w:w="1944"/>
            <w:vAlign w:val="center"/>
          </w:tcPr>
          <w:p>
            <w:r/>
            <w:r>
              <w:rPr>
                <w:rFonts w:ascii="Aptos" w:hAnsi="Aptos"/>
                <w:b w:val="0"/>
                <w:sz w:val="17"/>
              </w:rPr>
              <w:t>Regulatory boundary</w:t>
            </w:r>
          </w:p>
        </w:tc>
        <w:tc>
          <w:tcPr>
            <w:tcW w:type="dxa" w:w="6696"/>
            <w:vAlign w:val="center"/>
          </w:tcPr>
          <w:p>
            <w:r/>
            <w:r>
              <w:rPr>
                <w:rFonts w:ascii="Aptos" w:hAnsi="Aptos"/>
                <w:b w:val="0"/>
                <w:sz w:val="17"/>
              </w:rPr>
              <w:t>Which jurisdictions introduce content, claims, safety or market-specific constraints?</w:t>
            </w:r>
          </w:p>
        </w:tc>
        <w:tc>
          <w:tcPr>
            <w:tcW w:type="dxa" w:w="1584"/>
            <w:vAlign w:val="center"/>
          </w:tcPr>
          <w:p>
            <w:r/>
            <w:r>
              <w:rPr>
                <w:rFonts w:ascii="Aptos" w:hAnsi="Aptos"/>
                <w:b w:val="0"/>
                <w:sz w:val="17"/>
              </w:rPr>
              <w:t>Open question</w:t>
            </w:r>
          </w:p>
        </w:tc>
      </w:tr>
      <w:tr>
        <w:trPr>
          <w:cantSplit/>
        </w:trPr>
        <w:tc>
          <w:tcPr>
            <w:tcW w:type="dxa" w:w="1944"/>
            <w:vAlign w:val="center"/>
          </w:tcPr>
          <w:p>
            <w:r/>
            <w:r>
              <w:rPr>
                <w:rFonts w:ascii="Aptos" w:hAnsi="Aptos"/>
                <w:b w:val="0"/>
                <w:sz w:val="17"/>
              </w:rPr>
              <w:t>Operating model</w:t>
            </w:r>
          </w:p>
        </w:tc>
        <w:tc>
          <w:tcPr>
            <w:tcW w:type="dxa" w:w="6696"/>
            <w:vAlign w:val="center"/>
          </w:tcPr>
          <w:p>
            <w:r/>
            <w:r>
              <w:rPr>
                <w:rFonts w:ascii="Aptos" w:hAnsi="Aptos"/>
                <w:b w:val="0"/>
                <w:sz w:val="17"/>
              </w:rPr>
              <w:t>Who creates, reviews, updates, retires and monitors regional content over time?</w:t>
            </w:r>
          </w:p>
        </w:tc>
        <w:tc>
          <w:tcPr>
            <w:tcW w:type="dxa" w:w="1584"/>
            <w:vAlign w:val="center"/>
          </w:tcPr>
          <w:p>
            <w:r/>
            <w:r>
              <w:rPr>
                <w:rFonts w:ascii="Aptos" w:hAnsi="Aptos"/>
                <w:b w:val="0"/>
                <w:sz w:val="17"/>
              </w:rPr>
              <w:t>Open question</w:t>
            </w:r>
          </w:p>
        </w:tc>
      </w:tr>
      <w:tr>
        <w:trPr>
          <w:cantSplit/>
        </w:trPr>
        <w:tc>
          <w:tcPr>
            <w:tcW w:type="dxa" w:w="1944"/>
            <w:vAlign w:val="center"/>
          </w:tcPr>
          <w:p>
            <w:r/>
            <w:r>
              <w:rPr>
                <w:rFonts w:ascii="Aptos" w:hAnsi="Aptos"/>
                <w:b w:val="0"/>
                <w:sz w:val="17"/>
              </w:rPr>
              <w:t>Freshness</w:t>
            </w:r>
          </w:p>
        </w:tc>
        <w:tc>
          <w:tcPr>
            <w:tcW w:type="dxa" w:w="6696"/>
            <w:vAlign w:val="center"/>
          </w:tcPr>
          <w:p>
            <w:r/>
            <w:r>
              <w:rPr>
                <w:rFonts w:ascii="Aptos" w:hAnsi="Aptos"/>
                <w:b w:val="0"/>
                <w:sz w:val="17"/>
              </w:rPr>
              <w:t>How often must regional plant information be reviewed or refreshed?</w:t>
            </w:r>
          </w:p>
        </w:tc>
        <w:tc>
          <w:tcPr>
            <w:tcW w:type="dxa" w:w="1584"/>
            <w:vAlign w:val="center"/>
          </w:tcPr>
          <w:p>
            <w:r/>
            <w:r>
              <w:rPr>
                <w:rFonts w:ascii="Aptos" w:hAnsi="Aptos"/>
                <w:b w:val="0"/>
                <w:sz w:val="17"/>
              </w:rPr>
              <w:t>Open question</w:t>
            </w:r>
          </w:p>
        </w:tc>
      </w:tr>
      <w:tr>
        <w:trPr>
          <w:cantSplit/>
        </w:trPr>
        <w:tc>
          <w:tcPr>
            <w:tcW w:type="dxa" w:w="1944"/>
            <w:vAlign w:val="center"/>
          </w:tcPr>
          <w:p>
            <w:r/>
            <w:r>
              <w:rPr>
                <w:rFonts w:ascii="Aptos" w:hAnsi="Aptos"/>
                <w:b w:val="0"/>
                <w:sz w:val="17"/>
              </w:rPr>
              <w:t>User value</w:t>
            </w:r>
          </w:p>
        </w:tc>
        <w:tc>
          <w:tcPr>
            <w:tcW w:type="dxa" w:w="6696"/>
            <w:vAlign w:val="center"/>
          </w:tcPr>
          <w:p>
            <w:r/>
            <w:r>
              <w:rPr>
                <w:rFonts w:ascii="Aptos" w:hAnsi="Aptos"/>
                <w:b w:val="0"/>
                <w:sz w:val="17"/>
              </w:rPr>
              <w:t>Which geographies or plant domains provide enough user value to justify focused expansion?</w:t>
            </w:r>
          </w:p>
        </w:tc>
        <w:tc>
          <w:tcPr>
            <w:tcW w:type="dxa" w:w="1584"/>
            <w:vAlign w:val="center"/>
          </w:tcPr>
          <w:p>
            <w:r/>
            <w:r>
              <w:rPr>
                <w:rFonts w:ascii="Aptos" w:hAnsi="Aptos"/>
                <w:b w:val="0"/>
                <w:sz w:val="17"/>
              </w:rPr>
              <w:t>Open question</w:t>
            </w:r>
          </w:p>
        </w:tc>
      </w:tr>
    </w:tbl>
    <w:p>
      <w:pPr>
        <w:spacing w:after="40"/>
      </w:pPr>
    </w:p>
    <w:p>
      <w:pPr>
        <w:pStyle w:val="Heading1"/>
        <w:spacing w:before="160" w:after="60"/>
      </w:pPr>
      <w:r>
        <w:t>5. Candidate Future Requirements and Story Direction</w:t>
      </w:r>
    </w:p>
    <w:p>
      <w:pPr>
        <w:spacing w:after="80"/>
      </w:pPr>
      <w:r>
        <w:t>F04 remains intentionally unnumbered at this stage. The discovery variables, source authority model, regional scope and operating model are not sufficiently resolved to assign formal future requirement or story IDs.</w:t>
      </w:r>
    </w:p>
    <w:tbl>
      <w:tblPr>
        <w:tblStyle w:val="TableGrid"/>
        <w:tblW w:type="auto" w:w="0"/>
        <w:jc w:val="center"/>
        <w:tblLook w:firstColumn="1" w:firstRow="1" w:lastColumn="0" w:lastRow="0" w:noHBand="0" w:noVBand="1" w:val="04A0"/>
      </w:tblPr>
      <w:tblGrid>
        <w:gridCol w:w="5112"/>
        <w:gridCol w:w="5112"/>
      </w:tblGrid>
      <w:tr>
        <w:trPr>
          <w:cantSplit/>
        </w:trPr>
        <w:tc>
          <w:tcPr>
            <w:tcW w:type="dxa" w:w="7200"/>
            <w:vAlign w:val="center"/>
            <w:shd w:fill="D9E2F3"/>
          </w:tcPr>
          <w:p>
            <w:r/>
            <w:r>
              <w:rPr>
                <w:rFonts w:ascii="Aptos" w:hAnsi="Aptos"/>
                <w:b/>
                <w:sz w:val="17"/>
              </w:rPr>
              <w:t>Candidate requirement direction</w:t>
            </w:r>
          </w:p>
        </w:tc>
        <w:tc>
          <w:tcPr>
            <w:tcW w:type="dxa" w:w="2880"/>
            <w:vAlign w:val="center"/>
            <w:shd w:fill="D9E2F3"/>
          </w:tcPr>
          <w:p>
            <w:r/>
            <w:r>
              <w:rPr>
                <w:rFonts w:ascii="Aptos" w:hAnsi="Aptos"/>
                <w:b/>
                <w:sz w:val="17"/>
              </w:rPr>
              <w:t>Current state</w:t>
            </w:r>
          </w:p>
        </w:tc>
      </w:tr>
      <w:tr>
        <w:trPr>
          <w:cantSplit/>
        </w:trPr>
        <w:tc>
          <w:tcPr>
            <w:tcW w:type="dxa" w:w="7200"/>
            <w:vAlign w:val="center"/>
          </w:tcPr>
          <w:p>
            <w:r/>
            <w:r>
              <w:rPr>
                <w:rFonts w:ascii="Aptos" w:hAnsi="Aptos"/>
                <w:b w:val="0"/>
                <w:sz w:val="17"/>
              </w:rPr>
              <w:t>EcoGrow may provide plant knowledge that reflects relevant species, variety and regional context for selected markets.</w:t>
            </w:r>
          </w:p>
        </w:tc>
        <w:tc>
          <w:tcPr>
            <w:tcW w:type="dxa" w:w="2880"/>
            <w:vAlign w:val="center"/>
          </w:tcPr>
          <w:p>
            <w:r/>
            <w:r>
              <w:rPr>
                <w:rFonts w:ascii="Aptos" w:hAnsi="Aptos"/>
                <w:b w:val="0"/>
                <w:sz w:val="17"/>
              </w:rPr>
              <w:t>Discovery candidate, no FR number assigned yet.</w:t>
            </w:r>
          </w:p>
        </w:tc>
      </w:tr>
      <w:tr>
        <w:trPr>
          <w:cantSplit/>
        </w:trPr>
        <w:tc>
          <w:tcPr>
            <w:tcW w:type="dxa" w:w="7200"/>
            <w:vAlign w:val="center"/>
          </w:tcPr>
          <w:p>
            <w:r/>
            <w:r>
              <w:rPr>
                <w:rFonts w:ascii="Aptos" w:hAnsi="Aptos"/>
                <w:b w:val="0"/>
                <w:sz w:val="17"/>
              </w:rPr>
              <w:t>EcoGrow may adapt plant information for validated local language, terminology, measurement and growing-season context.</w:t>
            </w:r>
          </w:p>
        </w:tc>
        <w:tc>
          <w:tcPr>
            <w:tcW w:type="dxa" w:w="2880"/>
            <w:vAlign w:val="center"/>
          </w:tcPr>
          <w:p>
            <w:r/>
            <w:r>
              <w:rPr>
                <w:rFonts w:ascii="Aptos" w:hAnsi="Aptos"/>
                <w:b w:val="0"/>
                <w:sz w:val="17"/>
              </w:rPr>
              <w:t>Discovery candidate, gated by localisation and content governance.</w:t>
            </w:r>
          </w:p>
        </w:tc>
      </w:tr>
    </w:tbl>
    <w:p>
      <w:pPr>
        <w:spacing w:after="40"/>
      </w:pPr>
    </w:p>
    <w:p>
      <w:pPr>
        <w:spacing w:after="80"/>
      </w:pPr>
      <w:r>
        <w:t>Potential story direction: As a gardener, I want plant information that reflects the context in which I grow the plant so that the information is more relevant to my location and conditions.</w:t>
      </w:r>
    </w:p>
    <w:p>
      <w:pPr>
        <w:spacing w:after="80"/>
      </w:pPr>
      <w:r>
        <w:t>Important control: This is a discovery candidate only. No formal future-state story ID, acceptance criteria or Jira issue is created in this pass.</w:t>
      </w:r>
    </w:p>
    <w:p>
      <w:pPr>
        <w:pStyle w:val="Heading1"/>
        <w:spacing w:before="160" w:after="60"/>
      </w:pPr>
      <w:r>
        <w:t>6. Data, Content and Operating-Model Discovery</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088"/>
            <w:vAlign w:val="center"/>
            <w:shd w:fill="D9E2F3"/>
          </w:tcPr>
          <w:p>
            <w:r/>
            <w:r>
              <w:rPr>
                <w:rFonts w:ascii="Aptos" w:hAnsi="Aptos"/>
                <w:b/>
                <w:sz w:val="17"/>
              </w:rPr>
              <w:t>Area</w:t>
            </w:r>
          </w:p>
        </w:tc>
        <w:tc>
          <w:tcPr>
            <w:tcW w:type="dxa" w:w="6552"/>
            <w:vAlign w:val="center"/>
            <w:shd w:fill="D9E2F3"/>
          </w:tcPr>
          <w:p>
            <w:r/>
            <w:r>
              <w:rPr>
                <w:rFonts w:ascii="Aptos" w:hAnsi="Aptos"/>
                <w:b/>
                <w:sz w:val="17"/>
              </w:rPr>
              <w:t>Question to resolve</w:t>
            </w:r>
          </w:p>
        </w:tc>
        <w:tc>
          <w:tcPr>
            <w:tcW w:type="dxa" w:w="1584"/>
            <w:vAlign w:val="center"/>
            <w:shd w:fill="D9E2F3"/>
          </w:tcPr>
          <w:p>
            <w:r/>
            <w:r>
              <w:rPr>
                <w:rFonts w:ascii="Aptos" w:hAnsi="Aptos"/>
                <w:b/>
                <w:sz w:val="17"/>
              </w:rPr>
              <w:t>Status</w:t>
            </w:r>
          </w:p>
        </w:tc>
      </w:tr>
      <w:tr>
        <w:trPr>
          <w:cantSplit/>
        </w:trPr>
        <w:tc>
          <w:tcPr>
            <w:tcW w:type="dxa" w:w="2088"/>
            <w:vAlign w:val="center"/>
          </w:tcPr>
          <w:p>
            <w:r/>
            <w:r>
              <w:rPr>
                <w:rFonts w:ascii="Aptos" w:hAnsi="Aptos"/>
                <w:b w:val="0"/>
                <w:sz w:val="17"/>
              </w:rPr>
              <w:t>Plant knowledge source</w:t>
            </w:r>
          </w:p>
        </w:tc>
        <w:tc>
          <w:tcPr>
            <w:tcW w:type="dxa" w:w="6552"/>
            <w:vAlign w:val="center"/>
          </w:tcPr>
          <w:p>
            <w:r/>
            <w:r>
              <w:rPr>
                <w:rFonts w:ascii="Aptos" w:hAnsi="Aptos"/>
                <w:b w:val="0"/>
                <w:sz w:val="17"/>
              </w:rPr>
              <w:t>What authoritative sources, datasets or editorial inputs will populate the global plant knowledge base?</w:t>
            </w:r>
          </w:p>
        </w:tc>
        <w:tc>
          <w:tcPr>
            <w:tcW w:type="dxa" w:w="1584"/>
            <w:vAlign w:val="center"/>
          </w:tcPr>
          <w:p>
            <w:r/>
            <w:r>
              <w:rPr>
                <w:rFonts w:ascii="Aptos" w:hAnsi="Aptos"/>
                <w:b w:val="0"/>
                <w:sz w:val="17"/>
              </w:rPr>
              <w:t>Open question</w:t>
            </w:r>
          </w:p>
        </w:tc>
      </w:tr>
      <w:tr>
        <w:trPr>
          <w:cantSplit/>
        </w:trPr>
        <w:tc>
          <w:tcPr>
            <w:tcW w:type="dxa" w:w="2088"/>
            <w:vAlign w:val="center"/>
          </w:tcPr>
          <w:p>
            <w:r/>
            <w:r>
              <w:rPr>
                <w:rFonts w:ascii="Aptos" w:hAnsi="Aptos"/>
                <w:b w:val="0"/>
                <w:sz w:val="17"/>
              </w:rPr>
              <w:t>Identity and taxonomy</w:t>
            </w:r>
          </w:p>
        </w:tc>
        <w:tc>
          <w:tcPr>
            <w:tcW w:type="dxa" w:w="6552"/>
            <w:vAlign w:val="center"/>
          </w:tcPr>
          <w:p>
            <w:r/>
            <w:r>
              <w:rPr>
                <w:rFonts w:ascii="Aptos" w:hAnsi="Aptos"/>
                <w:b w:val="0"/>
                <w:sz w:val="17"/>
              </w:rPr>
              <w:t>How will species, varieties, synonyms and regional names be reconciled?</w:t>
            </w:r>
          </w:p>
        </w:tc>
        <w:tc>
          <w:tcPr>
            <w:tcW w:type="dxa" w:w="1584"/>
            <w:vAlign w:val="center"/>
          </w:tcPr>
          <w:p>
            <w:r/>
            <w:r>
              <w:rPr>
                <w:rFonts w:ascii="Aptos" w:hAnsi="Aptos"/>
                <w:b w:val="0"/>
                <w:sz w:val="17"/>
              </w:rPr>
              <w:t>Open question</w:t>
            </w:r>
          </w:p>
        </w:tc>
      </w:tr>
      <w:tr>
        <w:trPr>
          <w:cantSplit/>
        </w:trPr>
        <w:tc>
          <w:tcPr>
            <w:tcW w:type="dxa" w:w="2088"/>
            <w:vAlign w:val="center"/>
          </w:tcPr>
          <w:p>
            <w:r/>
            <w:r>
              <w:rPr>
                <w:rFonts w:ascii="Aptos" w:hAnsi="Aptos"/>
                <w:b w:val="0"/>
                <w:sz w:val="17"/>
              </w:rPr>
              <w:t>Regionalisation</w:t>
            </w:r>
          </w:p>
        </w:tc>
        <w:tc>
          <w:tcPr>
            <w:tcW w:type="dxa" w:w="6552"/>
            <w:vAlign w:val="center"/>
          </w:tcPr>
          <w:p>
            <w:r/>
            <w:r>
              <w:rPr>
                <w:rFonts w:ascii="Aptos" w:hAnsi="Aptos"/>
                <w:b w:val="0"/>
                <w:sz w:val="17"/>
              </w:rPr>
              <w:t>What regional attributes should be stored and how should they affect presentation?</w:t>
            </w:r>
          </w:p>
        </w:tc>
        <w:tc>
          <w:tcPr>
            <w:tcW w:type="dxa" w:w="1584"/>
            <w:vAlign w:val="center"/>
          </w:tcPr>
          <w:p>
            <w:r/>
            <w:r>
              <w:rPr>
                <w:rFonts w:ascii="Aptos" w:hAnsi="Aptos"/>
                <w:b w:val="0"/>
                <w:sz w:val="17"/>
              </w:rPr>
              <w:t>Open question</w:t>
            </w:r>
          </w:p>
        </w:tc>
      </w:tr>
      <w:tr>
        <w:trPr>
          <w:cantSplit/>
        </w:trPr>
        <w:tc>
          <w:tcPr>
            <w:tcW w:type="dxa" w:w="2088"/>
            <w:vAlign w:val="center"/>
          </w:tcPr>
          <w:p>
            <w:r/>
            <w:r>
              <w:rPr>
                <w:rFonts w:ascii="Aptos" w:hAnsi="Aptos"/>
                <w:b w:val="0"/>
                <w:sz w:val="17"/>
              </w:rPr>
              <w:t>Localisation workflow</w:t>
            </w:r>
          </w:p>
        </w:tc>
        <w:tc>
          <w:tcPr>
            <w:tcW w:type="dxa" w:w="6552"/>
            <w:vAlign w:val="center"/>
          </w:tcPr>
          <w:p>
            <w:r/>
            <w:r>
              <w:rPr>
                <w:rFonts w:ascii="Aptos" w:hAnsi="Aptos"/>
                <w:b w:val="0"/>
                <w:sz w:val="17"/>
              </w:rPr>
              <w:t>How will translations, terminology and regional adaptations be created and reviewed?</w:t>
            </w:r>
          </w:p>
        </w:tc>
        <w:tc>
          <w:tcPr>
            <w:tcW w:type="dxa" w:w="1584"/>
            <w:vAlign w:val="center"/>
          </w:tcPr>
          <w:p>
            <w:r/>
            <w:r>
              <w:rPr>
                <w:rFonts w:ascii="Aptos" w:hAnsi="Aptos"/>
                <w:b w:val="0"/>
                <w:sz w:val="17"/>
              </w:rPr>
              <w:t>Open question</w:t>
            </w:r>
          </w:p>
        </w:tc>
      </w:tr>
      <w:tr>
        <w:trPr>
          <w:cantSplit/>
        </w:trPr>
        <w:tc>
          <w:tcPr>
            <w:tcW w:type="dxa" w:w="2088"/>
            <w:vAlign w:val="center"/>
          </w:tcPr>
          <w:p>
            <w:r/>
            <w:r>
              <w:rPr>
                <w:rFonts w:ascii="Aptos" w:hAnsi="Aptos"/>
                <w:b w:val="0"/>
                <w:sz w:val="17"/>
              </w:rPr>
              <w:t>Content lifecycle</w:t>
            </w:r>
          </w:p>
        </w:tc>
        <w:tc>
          <w:tcPr>
            <w:tcW w:type="dxa" w:w="6552"/>
            <w:vAlign w:val="center"/>
          </w:tcPr>
          <w:p>
            <w:r/>
            <w:r>
              <w:rPr>
                <w:rFonts w:ascii="Aptos" w:hAnsi="Aptos"/>
                <w:b w:val="0"/>
                <w:sz w:val="17"/>
              </w:rPr>
              <w:t>Who owns updates, review, versioning and retirement of regional content?</w:t>
            </w:r>
          </w:p>
        </w:tc>
        <w:tc>
          <w:tcPr>
            <w:tcW w:type="dxa" w:w="1584"/>
            <w:vAlign w:val="center"/>
          </w:tcPr>
          <w:p>
            <w:r/>
            <w:r>
              <w:rPr>
                <w:rFonts w:ascii="Aptos" w:hAnsi="Aptos"/>
                <w:b w:val="0"/>
                <w:sz w:val="17"/>
              </w:rPr>
              <w:t>Open question</w:t>
            </w:r>
          </w:p>
        </w:tc>
      </w:tr>
      <w:tr>
        <w:trPr>
          <w:cantSplit/>
        </w:trPr>
        <w:tc>
          <w:tcPr>
            <w:tcW w:type="dxa" w:w="2088"/>
            <w:vAlign w:val="center"/>
          </w:tcPr>
          <w:p>
            <w:r/>
            <w:r>
              <w:rPr>
                <w:rFonts w:ascii="Aptos" w:hAnsi="Aptos"/>
                <w:b w:val="0"/>
                <w:sz w:val="17"/>
              </w:rPr>
              <w:t>Regulatory review</w:t>
            </w:r>
          </w:p>
        </w:tc>
        <w:tc>
          <w:tcPr>
            <w:tcW w:type="dxa" w:w="6552"/>
            <w:vAlign w:val="center"/>
          </w:tcPr>
          <w:p>
            <w:r/>
            <w:r>
              <w:rPr>
                <w:rFonts w:ascii="Aptos" w:hAnsi="Aptos"/>
                <w:b w:val="0"/>
                <w:sz w:val="17"/>
              </w:rPr>
              <w:t>How will market-specific content restrictions or claims be identified and handled?</w:t>
            </w:r>
          </w:p>
        </w:tc>
        <w:tc>
          <w:tcPr>
            <w:tcW w:type="dxa" w:w="1584"/>
            <w:vAlign w:val="center"/>
          </w:tcPr>
          <w:p>
            <w:r/>
            <w:r>
              <w:rPr>
                <w:rFonts w:ascii="Aptos" w:hAnsi="Aptos"/>
                <w:b w:val="0"/>
                <w:sz w:val="17"/>
              </w:rPr>
              <w:t>Open question</w:t>
            </w:r>
          </w:p>
        </w:tc>
      </w:tr>
      <w:tr>
        <w:trPr>
          <w:cantSplit/>
        </w:trPr>
        <w:tc>
          <w:tcPr>
            <w:tcW w:type="dxa" w:w="2088"/>
            <w:vAlign w:val="center"/>
          </w:tcPr>
          <w:p>
            <w:r/>
            <w:r>
              <w:rPr>
                <w:rFonts w:ascii="Aptos" w:hAnsi="Aptos"/>
                <w:b w:val="0"/>
                <w:sz w:val="17"/>
              </w:rPr>
              <w:t>Quality controls</w:t>
            </w:r>
          </w:p>
        </w:tc>
        <w:tc>
          <w:tcPr>
            <w:tcW w:type="dxa" w:w="6552"/>
            <w:vAlign w:val="center"/>
          </w:tcPr>
          <w:p>
            <w:r/>
            <w:r>
              <w:rPr>
                <w:rFonts w:ascii="Aptos" w:hAnsi="Aptos"/>
                <w:b w:val="0"/>
                <w:sz w:val="17"/>
              </w:rPr>
              <w:t>How will missing, conflicting or stale plant information be detected and resolved?</w:t>
            </w:r>
          </w:p>
        </w:tc>
        <w:tc>
          <w:tcPr>
            <w:tcW w:type="dxa" w:w="1584"/>
            <w:vAlign w:val="center"/>
          </w:tcPr>
          <w:p>
            <w:r/>
            <w:r>
              <w:rPr>
                <w:rFonts w:ascii="Aptos" w:hAnsi="Aptos"/>
                <w:b w:val="0"/>
                <w:sz w:val="17"/>
              </w:rPr>
              <w:t>Open question</w:t>
            </w:r>
          </w:p>
        </w:tc>
      </w:tr>
      <w:tr>
        <w:trPr>
          <w:cantSplit/>
        </w:trPr>
        <w:tc>
          <w:tcPr>
            <w:tcW w:type="dxa" w:w="2088"/>
            <w:vAlign w:val="center"/>
          </w:tcPr>
          <w:p>
            <w:r/>
            <w:r>
              <w:rPr>
                <w:rFonts w:ascii="Aptos" w:hAnsi="Aptos"/>
                <w:b w:val="0"/>
                <w:sz w:val="17"/>
              </w:rPr>
              <w:t>Analytics</w:t>
            </w:r>
          </w:p>
        </w:tc>
        <w:tc>
          <w:tcPr>
            <w:tcW w:type="dxa" w:w="6552"/>
            <w:vAlign w:val="center"/>
          </w:tcPr>
          <w:p>
            <w:r/>
            <w:r>
              <w:rPr>
                <w:rFonts w:ascii="Aptos" w:hAnsi="Aptos"/>
                <w:b w:val="0"/>
                <w:sz w:val="17"/>
              </w:rPr>
              <w:t>What usage signals would show that regional plant intelligence is useful after real delivery?</w:t>
            </w:r>
          </w:p>
        </w:tc>
        <w:tc>
          <w:tcPr>
            <w:tcW w:type="dxa" w:w="1584"/>
            <w:vAlign w:val="center"/>
          </w:tcPr>
          <w:p>
            <w:r/>
            <w:r>
              <w:rPr>
                <w:rFonts w:ascii="Aptos" w:hAnsi="Aptos"/>
                <w:b w:val="0"/>
                <w:sz w:val="17"/>
              </w:rPr>
              <w:t>Future delivery theme</w:t>
            </w:r>
          </w:p>
        </w:tc>
      </w:tr>
    </w:tbl>
    <w:p>
      <w:pPr>
        <w:spacing w:after="40"/>
      </w:pPr>
    </w:p>
    <w:p>
      <w:pPr>
        <w:pStyle w:val="Heading1"/>
        <w:spacing w:before="160" w:after="60"/>
      </w:pPr>
      <w:r>
        <w:t>7. Governance and Stakeholder Boundary</w:t>
      </w:r>
    </w:p>
    <w:p>
      <w:pPr>
        <w:spacing w:after="80"/>
      </w:pPr>
      <w:r>
        <w:t>Governance dependency. Global plant intelligence expands content breadth and introduces regional validity questions. I will not add future stakeholders to the current MVP register based on framework expectations alone.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376"/>
            <w:vAlign w:val="center"/>
            <w:shd w:fill="D9E2F3"/>
          </w:tcPr>
          <w:p>
            <w:r/>
            <w:r>
              <w:rPr>
                <w:rFonts w:ascii="Aptos" w:hAnsi="Aptos"/>
                <w:b/>
                <w:sz w:val="17"/>
              </w:rPr>
              <w:t>Role / expertise</w:t>
            </w:r>
          </w:p>
        </w:tc>
        <w:tc>
          <w:tcPr>
            <w:tcW w:type="dxa" w:w="5616"/>
            <w:vAlign w:val="center"/>
            <w:shd w:fill="D9E2F3"/>
          </w:tcPr>
          <w:p>
            <w:r/>
            <w:r>
              <w:rPr>
                <w:rFonts w:ascii="Aptos" w:hAnsi="Aptos"/>
                <w:b/>
                <w:sz w:val="17"/>
              </w:rPr>
              <w:t>Potential F04 relevance</w:t>
            </w:r>
          </w:p>
        </w:tc>
        <w:tc>
          <w:tcPr>
            <w:tcW w:type="dxa" w:w="2232"/>
            <w:vAlign w:val="center"/>
            <w:shd w:fill="D9E2F3"/>
          </w:tcPr>
          <w:p>
            <w:r/>
            <w:r>
              <w:rPr>
                <w:rFonts w:ascii="Aptos" w:hAnsi="Aptos"/>
                <w:b/>
                <w:sz w:val="17"/>
              </w:rPr>
              <w:t>Current position</w:t>
            </w:r>
          </w:p>
        </w:tc>
      </w:tr>
      <w:tr>
        <w:trPr>
          <w:cantSplit/>
        </w:trPr>
        <w:tc>
          <w:tcPr>
            <w:tcW w:type="dxa" w:w="2376"/>
            <w:vAlign w:val="center"/>
          </w:tcPr>
          <w:p>
            <w:r/>
            <w:r>
              <w:rPr>
                <w:rFonts w:ascii="Aptos" w:hAnsi="Aptos"/>
                <w:b w:val="0"/>
                <w:sz w:val="17"/>
              </w:rPr>
              <w:t>Gardener</w:t>
            </w:r>
          </w:p>
        </w:tc>
        <w:tc>
          <w:tcPr>
            <w:tcW w:type="dxa" w:w="5616"/>
            <w:vAlign w:val="center"/>
          </w:tcPr>
          <w:p>
            <w:r/>
            <w:r>
              <w:rPr>
                <w:rFonts w:ascii="Aptos" w:hAnsi="Aptos"/>
                <w:b w:val="0"/>
                <w:sz w:val="17"/>
              </w:rPr>
              <w:t>Consumes regional plant knowledge and indicates relevance.</w:t>
            </w:r>
          </w:p>
        </w:tc>
        <w:tc>
          <w:tcPr>
            <w:tcW w:type="dxa" w:w="2232"/>
            <w:vAlign w:val="center"/>
          </w:tcPr>
          <w:p>
            <w:r/>
            <w:r>
              <w:rPr>
                <w:rFonts w:ascii="Aptos" w:hAnsi="Aptos"/>
                <w:b w:val="0"/>
                <w:sz w:val="17"/>
              </w:rPr>
              <w:t>Primary persona</w:t>
            </w:r>
          </w:p>
        </w:tc>
      </w:tr>
      <w:tr>
        <w:trPr>
          <w:cantSplit/>
        </w:trPr>
        <w:tc>
          <w:tcPr>
            <w:tcW w:type="dxa" w:w="2376"/>
            <w:vAlign w:val="center"/>
          </w:tcPr>
          <w:p>
            <w:r/>
            <w:r>
              <w:rPr>
                <w:rFonts w:ascii="Aptos" w:hAnsi="Aptos"/>
                <w:b w:val="0"/>
                <w:sz w:val="17"/>
              </w:rPr>
              <w:t>Product Owner / GreenSphere</w:t>
            </w:r>
          </w:p>
        </w:tc>
        <w:tc>
          <w:tcPr>
            <w:tcW w:type="dxa" w:w="5616"/>
            <w:vAlign w:val="center"/>
          </w:tcPr>
          <w:p>
            <w:r/>
            <w:r>
              <w:rPr>
                <w:rFonts w:ascii="Aptos" w:hAnsi="Aptos"/>
                <w:b w:val="0"/>
                <w:sz w:val="17"/>
              </w:rPr>
              <w:t>Confirms value, scope, priority and acceptance.</w:t>
            </w:r>
          </w:p>
        </w:tc>
        <w:tc>
          <w:tcPr>
            <w:tcW w:type="dxa" w:w="2232"/>
            <w:vAlign w:val="center"/>
          </w:tcPr>
          <w:p>
            <w:r/>
            <w:r>
              <w:rPr>
                <w:rFonts w:ascii="Aptos" w:hAnsi="Aptos"/>
                <w:b w:val="0"/>
                <w:sz w:val="17"/>
              </w:rPr>
              <w:t>Governance role</w:t>
            </w:r>
          </w:p>
        </w:tc>
      </w:tr>
      <w:tr>
        <w:trPr>
          <w:cantSplit/>
        </w:trPr>
        <w:tc>
          <w:tcPr>
            <w:tcW w:type="dxa" w:w="2376"/>
            <w:vAlign w:val="center"/>
          </w:tcPr>
          <w:p>
            <w:r/>
            <w:r>
              <w:rPr>
                <w:rFonts w:ascii="Aptos" w:hAnsi="Aptos"/>
                <w:b w:val="0"/>
                <w:sz w:val="17"/>
              </w:rPr>
              <w:t>Plant Science / Horticulture SME</w:t>
            </w:r>
          </w:p>
        </w:tc>
        <w:tc>
          <w:tcPr>
            <w:tcW w:type="dxa" w:w="5616"/>
            <w:vAlign w:val="center"/>
          </w:tcPr>
          <w:p>
            <w:r/>
            <w:r>
              <w:rPr>
                <w:rFonts w:ascii="Aptos" w:hAnsi="Aptos"/>
                <w:b w:val="0"/>
                <w:sz w:val="17"/>
              </w:rPr>
              <w:t>May validate plant knowledge and regional growing implications.</w:t>
            </w:r>
          </w:p>
        </w:tc>
        <w:tc>
          <w:tcPr>
            <w:tcW w:type="dxa" w:w="2232"/>
            <w:vAlign w:val="center"/>
          </w:tcPr>
          <w:p>
            <w:r/>
            <w:r>
              <w:rPr>
                <w:rFonts w:ascii="Aptos" w:hAnsi="Aptos"/>
                <w:b w:val="0"/>
                <w:sz w:val="17"/>
              </w:rPr>
              <w:t>Future governance dependency, not an MVP entry</w:t>
            </w:r>
          </w:p>
        </w:tc>
      </w:tr>
      <w:tr>
        <w:trPr>
          <w:cantSplit/>
        </w:trPr>
        <w:tc>
          <w:tcPr>
            <w:tcW w:type="dxa" w:w="2376"/>
            <w:vAlign w:val="center"/>
          </w:tcPr>
          <w:p>
            <w:r/>
            <w:r>
              <w:rPr>
                <w:rFonts w:ascii="Aptos" w:hAnsi="Aptos"/>
                <w:b w:val="0"/>
                <w:sz w:val="17"/>
              </w:rPr>
              <w:t>Localization / regional content expertise</w:t>
            </w:r>
          </w:p>
        </w:tc>
        <w:tc>
          <w:tcPr>
            <w:tcW w:type="dxa" w:w="5616"/>
            <w:vAlign w:val="center"/>
          </w:tcPr>
          <w:p>
            <w:r/>
            <w:r>
              <w:rPr>
                <w:rFonts w:ascii="Aptos" w:hAnsi="Aptos"/>
                <w:b w:val="0"/>
                <w:sz w:val="17"/>
              </w:rPr>
              <w:t>May be required for market-specific language, terminology and content adaptation.</w:t>
            </w:r>
          </w:p>
        </w:tc>
        <w:tc>
          <w:tcPr>
            <w:tcW w:type="dxa" w:w="2232"/>
            <w:vAlign w:val="center"/>
          </w:tcPr>
          <w:p>
            <w:r/>
            <w:r>
              <w:rPr>
                <w:rFonts w:ascii="Aptos" w:hAnsi="Aptos"/>
                <w:b w:val="0"/>
                <w:sz w:val="17"/>
              </w:rPr>
              <w:t>Open governance question, not added yet</w:t>
            </w:r>
          </w:p>
        </w:tc>
      </w:tr>
      <w:tr>
        <w:trPr>
          <w:cantSplit/>
        </w:trPr>
        <w:tc>
          <w:tcPr>
            <w:tcW w:type="dxa" w:w="2376"/>
            <w:vAlign w:val="center"/>
          </w:tcPr>
          <w:p>
            <w:r/>
            <w:r>
              <w:rPr>
                <w:rFonts w:ascii="Aptos" w:hAnsi="Aptos"/>
                <w:b w:val="0"/>
                <w:sz w:val="17"/>
              </w:rPr>
              <w:t>Regulatory / market expertise</w:t>
            </w:r>
          </w:p>
        </w:tc>
        <w:tc>
          <w:tcPr>
            <w:tcW w:type="dxa" w:w="5616"/>
            <w:vAlign w:val="center"/>
          </w:tcPr>
          <w:p>
            <w:r/>
            <w:r>
              <w:rPr>
                <w:rFonts w:ascii="Aptos" w:hAnsi="Aptos"/>
                <w:b w:val="0"/>
                <w:sz w:val="17"/>
              </w:rPr>
              <w:t>May be required where jurisdiction-specific content or claims create constraints.</w:t>
            </w:r>
          </w:p>
        </w:tc>
        <w:tc>
          <w:tcPr>
            <w:tcW w:type="dxa" w:w="2232"/>
            <w:vAlign w:val="center"/>
          </w:tcPr>
          <w:p>
            <w:r/>
            <w:r>
              <w:rPr>
                <w:rFonts w:ascii="Aptos" w:hAnsi="Aptos"/>
                <w:b w:val="0"/>
                <w:sz w:val="17"/>
              </w:rPr>
              <w:t>Open governance question, not added yet</w:t>
            </w:r>
          </w:p>
        </w:tc>
      </w:tr>
      <w:tr>
        <w:trPr>
          <w:cantSplit/>
        </w:trPr>
        <w:tc>
          <w:tcPr>
            <w:tcW w:type="dxa" w:w="2376"/>
            <w:vAlign w:val="center"/>
          </w:tcPr>
          <w:p>
            <w:r/>
            <w:r>
              <w:rPr>
                <w:rFonts w:ascii="Aptos" w:hAnsi="Aptos"/>
                <w:b w:val="0"/>
                <w:sz w:val="17"/>
              </w:rPr>
              <w:t>Technical / Data / Platform</w:t>
            </w:r>
          </w:p>
        </w:tc>
        <w:tc>
          <w:tcPr>
            <w:tcW w:type="dxa" w:w="5616"/>
            <w:vAlign w:val="center"/>
          </w:tcPr>
          <w:p>
            <w:r/>
            <w:r>
              <w:rPr>
                <w:rFonts w:ascii="Aptos" w:hAnsi="Aptos"/>
                <w:b w:val="0"/>
                <w:sz w:val="17"/>
              </w:rPr>
              <w:t>Supports knowledge model, source integration, quality, search and operational feasibility.</w:t>
            </w:r>
          </w:p>
        </w:tc>
        <w:tc>
          <w:tcPr>
            <w:tcW w:type="dxa" w:w="2232"/>
            <w:vAlign w:val="center"/>
          </w:tcPr>
          <w:p>
            <w:r/>
            <w:r>
              <w:rPr>
                <w:rFonts w:ascii="Aptos" w:hAnsi="Aptos"/>
                <w:b w:val="0"/>
                <w:sz w:val="17"/>
              </w:rPr>
              <w:t>Delivery dependency, ownership TBD</w:t>
            </w:r>
          </w:p>
        </w:tc>
      </w:tr>
    </w:tbl>
    <w:p>
      <w:pPr>
        <w:spacing w:after="40"/>
      </w:pPr>
    </w:p>
    <w:p>
      <w:pPr>
        <w:pStyle w:val="Heading1"/>
        <w:spacing w:before="160" w:after="60"/>
      </w:pPr>
      <w:r>
        <w:t>8. NFR Discovery Themes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088"/>
            <w:vAlign w:val="center"/>
            <w:shd w:fill="D9E2F3"/>
          </w:tcPr>
          <w:p>
            <w:r/>
            <w:r>
              <w:rPr>
                <w:rFonts w:ascii="Aptos" w:hAnsi="Aptos"/>
                <w:b/>
                <w:sz w:val="17"/>
              </w:rPr>
              <w:t>Theme</w:t>
            </w:r>
          </w:p>
        </w:tc>
        <w:tc>
          <w:tcPr>
            <w:tcW w:type="dxa" w:w="6264"/>
            <w:vAlign w:val="center"/>
            <w:shd w:fill="D9E2F3"/>
          </w:tcPr>
          <w:p>
            <w:r/>
            <w:r>
              <w:rPr>
                <w:rFonts w:ascii="Aptos" w:hAnsi="Aptos"/>
                <w:b/>
                <w:sz w:val="17"/>
              </w:rPr>
              <w:t>Why it matters</w:t>
            </w:r>
          </w:p>
        </w:tc>
        <w:tc>
          <w:tcPr>
            <w:tcW w:type="dxa" w:w="1872"/>
            <w:vAlign w:val="center"/>
            <w:shd w:fill="D9E2F3"/>
          </w:tcPr>
          <w:p>
            <w:r/>
            <w:r>
              <w:rPr>
                <w:rFonts w:ascii="Aptos" w:hAnsi="Aptos"/>
                <w:b/>
                <w:sz w:val="17"/>
              </w:rPr>
              <w:t>Current state</w:t>
            </w:r>
          </w:p>
        </w:tc>
      </w:tr>
      <w:tr>
        <w:trPr>
          <w:cantSplit/>
        </w:trPr>
        <w:tc>
          <w:tcPr>
            <w:tcW w:type="dxa" w:w="2088"/>
            <w:vAlign w:val="center"/>
          </w:tcPr>
          <w:p>
            <w:r/>
            <w:r>
              <w:rPr>
                <w:rFonts w:ascii="Aptos" w:hAnsi="Aptos"/>
                <w:b w:val="0"/>
                <w:sz w:val="17"/>
              </w:rPr>
              <w:t>Accuracy and provenance</w:t>
            </w:r>
          </w:p>
        </w:tc>
        <w:tc>
          <w:tcPr>
            <w:tcW w:type="dxa" w:w="6264"/>
            <w:vAlign w:val="center"/>
          </w:tcPr>
          <w:p>
            <w:r/>
            <w:r>
              <w:rPr>
                <w:rFonts w:ascii="Aptos" w:hAnsi="Aptos"/>
                <w:b w:val="0"/>
                <w:sz w:val="17"/>
              </w:rPr>
              <w:t>Regional plant information must be traceable to credible sources and review decisions.</w:t>
            </w:r>
          </w:p>
        </w:tc>
        <w:tc>
          <w:tcPr>
            <w:tcW w:type="dxa" w:w="1872"/>
            <w:vAlign w:val="center"/>
          </w:tcPr>
          <w:p>
            <w:r/>
            <w:r>
              <w:rPr>
                <w:rFonts w:ascii="Aptos" w:hAnsi="Aptos"/>
                <w:b w:val="0"/>
                <w:sz w:val="17"/>
              </w:rPr>
              <w:t>Discovery theme</w:t>
            </w:r>
          </w:p>
        </w:tc>
      </w:tr>
      <w:tr>
        <w:trPr>
          <w:cantSplit/>
        </w:trPr>
        <w:tc>
          <w:tcPr>
            <w:tcW w:type="dxa" w:w="2088"/>
            <w:vAlign w:val="center"/>
          </w:tcPr>
          <w:p>
            <w:r/>
            <w:r>
              <w:rPr>
                <w:rFonts w:ascii="Aptos" w:hAnsi="Aptos"/>
                <w:b w:val="0"/>
                <w:sz w:val="17"/>
              </w:rPr>
              <w:t>Freshness</w:t>
            </w:r>
          </w:p>
        </w:tc>
        <w:tc>
          <w:tcPr>
            <w:tcW w:type="dxa" w:w="6264"/>
            <w:vAlign w:val="center"/>
          </w:tcPr>
          <w:p>
            <w:r/>
            <w:r>
              <w:rPr>
                <w:rFonts w:ascii="Aptos" w:hAnsi="Aptos"/>
                <w:b w:val="0"/>
                <w:sz w:val="17"/>
              </w:rPr>
              <w:t>Plant knowledge, regional context and growing-season information may change over time.</w:t>
            </w:r>
          </w:p>
        </w:tc>
        <w:tc>
          <w:tcPr>
            <w:tcW w:type="dxa" w:w="1872"/>
            <w:vAlign w:val="center"/>
          </w:tcPr>
          <w:p>
            <w:r/>
            <w:r>
              <w:rPr>
                <w:rFonts w:ascii="Aptos" w:hAnsi="Aptos"/>
                <w:b w:val="0"/>
                <w:sz w:val="17"/>
              </w:rPr>
              <w:t>Discovery theme</w:t>
            </w:r>
          </w:p>
        </w:tc>
      </w:tr>
      <w:tr>
        <w:trPr>
          <w:cantSplit/>
        </w:trPr>
        <w:tc>
          <w:tcPr>
            <w:tcW w:type="dxa" w:w="2088"/>
            <w:vAlign w:val="center"/>
          </w:tcPr>
          <w:p>
            <w:r/>
            <w:r>
              <w:rPr>
                <w:rFonts w:ascii="Aptos" w:hAnsi="Aptos"/>
                <w:b w:val="0"/>
                <w:sz w:val="17"/>
              </w:rPr>
              <w:t>Consistency</w:t>
            </w:r>
          </w:p>
        </w:tc>
        <w:tc>
          <w:tcPr>
            <w:tcW w:type="dxa" w:w="6264"/>
            <w:vAlign w:val="center"/>
          </w:tcPr>
          <w:p>
            <w:r/>
            <w:r>
              <w:rPr>
                <w:rFonts w:ascii="Aptos" w:hAnsi="Aptos"/>
                <w:b w:val="0"/>
                <w:sz w:val="17"/>
              </w:rPr>
              <w:t>The same plant should not present materially conflicting information across regions without a clear reason.</w:t>
            </w:r>
          </w:p>
        </w:tc>
        <w:tc>
          <w:tcPr>
            <w:tcW w:type="dxa" w:w="1872"/>
            <w:vAlign w:val="center"/>
          </w:tcPr>
          <w:p>
            <w:r/>
            <w:r>
              <w:rPr>
                <w:rFonts w:ascii="Aptos" w:hAnsi="Aptos"/>
                <w:b w:val="0"/>
                <w:sz w:val="17"/>
              </w:rPr>
              <w:t>Discovery theme</w:t>
            </w:r>
          </w:p>
        </w:tc>
      </w:tr>
      <w:tr>
        <w:trPr>
          <w:cantSplit/>
        </w:trPr>
        <w:tc>
          <w:tcPr>
            <w:tcW w:type="dxa" w:w="2088"/>
            <w:vAlign w:val="center"/>
          </w:tcPr>
          <w:p>
            <w:r/>
            <w:r>
              <w:rPr>
                <w:rFonts w:ascii="Aptos" w:hAnsi="Aptos"/>
                <w:b w:val="0"/>
                <w:sz w:val="17"/>
              </w:rPr>
              <w:t>Localisation quality</w:t>
            </w:r>
          </w:p>
        </w:tc>
        <w:tc>
          <w:tcPr>
            <w:tcW w:type="dxa" w:w="6264"/>
            <w:vAlign w:val="center"/>
          </w:tcPr>
          <w:p>
            <w:r/>
            <w:r>
              <w:rPr>
                <w:rFonts w:ascii="Aptos" w:hAnsi="Aptos"/>
                <w:b w:val="0"/>
                <w:sz w:val="17"/>
              </w:rPr>
              <w:t>Language, terminology, measurements and regional presentation need coherent controls.</w:t>
            </w:r>
          </w:p>
        </w:tc>
        <w:tc>
          <w:tcPr>
            <w:tcW w:type="dxa" w:w="1872"/>
            <w:vAlign w:val="center"/>
          </w:tcPr>
          <w:p>
            <w:r/>
            <w:r>
              <w:rPr>
                <w:rFonts w:ascii="Aptos" w:hAnsi="Aptos"/>
                <w:b w:val="0"/>
                <w:sz w:val="17"/>
              </w:rPr>
              <w:t>Discovery theme</w:t>
            </w:r>
          </w:p>
        </w:tc>
      </w:tr>
      <w:tr>
        <w:trPr>
          <w:cantSplit/>
        </w:trPr>
        <w:tc>
          <w:tcPr>
            <w:tcW w:type="dxa" w:w="2088"/>
            <w:vAlign w:val="center"/>
          </w:tcPr>
          <w:p>
            <w:r/>
            <w:r>
              <w:rPr>
                <w:rFonts w:ascii="Aptos" w:hAnsi="Aptos"/>
                <w:b w:val="0"/>
                <w:sz w:val="17"/>
              </w:rPr>
              <w:t>Explainability</w:t>
            </w:r>
          </w:p>
        </w:tc>
        <w:tc>
          <w:tcPr>
            <w:tcW w:type="dxa" w:w="6264"/>
            <w:vAlign w:val="center"/>
          </w:tcPr>
          <w:p>
            <w:r/>
            <w:r>
              <w:rPr>
                <w:rFonts w:ascii="Aptos" w:hAnsi="Aptos"/>
                <w:b w:val="0"/>
                <w:sz w:val="17"/>
              </w:rPr>
              <w:t>Users should understand when information is region-specific and why it differs.</w:t>
            </w:r>
          </w:p>
        </w:tc>
        <w:tc>
          <w:tcPr>
            <w:tcW w:type="dxa" w:w="1872"/>
            <w:vAlign w:val="center"/>
          </w:tcPr>
          <w:p>
            <w:r/>
            <w:r>
              <w:rPr>
                <w:rFonts w:ascii="Aptos" w:hAnsi="Aptos"/>
                <w:b w:val="0"/>
                <w:sz w:val="17"/>
              </w:rPr>
              <w:t>Discovery theme</w:t>
            </w:r>
          </w:p>
        </w:tc>
      </w:tr>
      <w:tr>
        <w:trPr>
          <w:cantSplit/>
        </w:trPr>
        <w:tc>
          <w:tcPr>
            <w:tcW w:type="dxa" w:w="2088"/>
            <w:vAlign w:val="center"/>
          </w:tcPr>
          <w:p>
            <w:r/>
            <w:r>
              <w:rPr>
                <w:rFonts w:ascii="Aptos" w:hAnsi="Aptos"/>
                <w:b w:val="0"/>
                <w:sz w:val="17"/>
              </w:rPr>
              <w:t>Availability</w:t>
            </w:r>
          </w:p>
        </w:tc>
        <w:tc>
          <w:tcPr>
            <w:tcW w:type="dxa" w:w="6264"/>
            <w:vAlign w:val="center"/>
          </w:tcPr>
          <w:p>
            <w:r/>
            <w:r>
              <w:rPr>
                <w:rFonts w:ascii="Aptos" w:hAnsi="Aptos"/>
                <w:b w:val="0"/>
                <w:sz w:val="17"/>
              </w:rPr>
              <w:t>Knowledge and regional content must remain usable when dependencies fail.</w:t>
            </w:r>
          </w:p>
        </w:tc>
        <w:tc>
          <w:tcPr>
            <w:tcW w:type="dxa" w:w="1872"/>
            <w:vAlign w:val="center"/>
          </w:tcPr>
          <w:p>
            <w:r/>
            <w:r>
              <w:rPr>
                <w:rFonts w:ascii="Aptos" w:hAnsi="Aptos"/>
                <w:b w:val="0"/>
                <w:sz w:val="17"/>
              </w:rPr>
              <w:t>Discovery theme</w:t>
            </w:r>
          </w:p>
        </w:tc>
      </w:tr>
      <w:tr>
        <w:trPr>
          <w:cantSplit/>
        </w:trPr>
        <w:tc>
          <w:tcPr>
            <w:tcW w:type="dxa" w:w="2088"/>
            <w:vAlign w:val="center"/>
          </w:tcPr>
          <w:p>
            <w:r/>
            <w:r>
              <w:rPr>
                <w:rFonts w:ascii="Aptos" w:hAnsi="Aptos"/>
                <w:b w:val="0"/>
                <w:sz w:val="17"/>
              </w:rPr>
              <w:t>Observability</w:t>
            </w:r>
          </w:p>
        </w:tc>
        <w:tc>
          <w:tcPr>
            <w:tcW w:type="dxa" w:w="6264"/>
            <w:vAlign w:val="center"/>
          </w:tcPr>
          <w:p>
            <w:r/>
            <w:r>
              <w:rPr>
                <w:rFonts w:ascii="Aptos" w:hAnsi="Aptos"/>
                <w:b w:val="0"/>
                <w:sz w:val="17"/>
              </w:rPr>
              <w:t>Usage, content quality signals and regional coverage should be measurable after real delivery.</w:t>
            </w:r>
          </w:p>
        </w:tc>
        <w:tc>
          <w:tcPr>
            <w:tcW w:type="dxa" w:w="1872"/>
            <w:vAlign w:val="center"/>
          </w:tcPr>
          <w:p>
            <w:r/>
            <w:r>
              <w:rPr>
                <w:rFonts w:ascii="Aptos" w:hAnsi="Aptos"/>
                <w:b w:val="0"/>
                <w:sz w:val="17"/>
              </w:rPr>
              <w:t>Future delivery theme</w:t>
            </w:r>
          </w:p>
        </w:tc>
      </w:tr>
    </w:tbl>
    <w:p>
      <w:pPr>
        <w:spacing w:after="40"/>
      </w:pPr>
    </w:p>
    <w:p>
      <w:pPr>
        <w:pStyle w:val="Heading1"/>
        <w:spacing w:before="160" w:after="60"/>
      </w:pPr>
      <w:r>
        <w:t>9. Discovery Questions and Progression Gate</w:t>
      </w:r>
    </w:p>
    <w:tbl>
      <w:tblPr>
        <w:tblStyle w:val="TableGrid"/>
        <w:tblW w:type="auto" w:w="0"/>
        <w:jc w:val="center"/>
        <w:tblLook w:firstColumn="1" w:firstRow="1" w:lastColumn="0" w:lastRow="0" w:noHBand="0" w:noVBand="1" w:val="04A0"/>
      </w:tblPr>
      <w:tblGrid>
        <w:gridCol w:w="5112"/>
        <w:gridCol w:w="5112"/>
      </w:tblGrid>
      <w:tr>
        <w:trPr>
          <w:cantSplit/>
        </w:trPr>
        <w:tc>
          <w:tcPr>
            <w:tcW w:type="dxa" w:w="2232"/>
            <w:vAlign w:val="center"/>
            <w:shd w:fill="D9E2F3"/>
          </w:tcPr>
          <w:p>
            <w:r/>
            <w:r>
              <w:rPr>
                <w:rFonts w:ascii="Aptos" w:hAnsi="Aptos"/>
                <w:b/>
                <w:sz w:val="17"/>
              </w:rPr>
              <w:t>Gate</w:t>
            </w:r>
          </w:p>
        </w:tc>
        <w:tc>
          <w:tcPr>
            <w:tcW w:type="dxa" w:w="7848"/>
            <w:vAlign w:val="center"/>
            <w:shd w:fill="D9E2F3"/>
          </w:tcPr>
          <w:p>
            <w:r/>
            <w:r>
              <w:rPr>
                <w:rFonts w:ascii="Aptos" w:hAnsi="Aptos"/>
                <w:b/>
                <w:sz w:val="17"/>
              </w:rPr>
              <w:t>Required before delivery translation</w:t>
            </w:r>
          </w:p>
        </w:tc>
      </w:tr>
      <w:tr>
        <w:trPr>
          <w:cantSplit/>
        </w:trPr>
        <w:tc>
          <w:tcPr>
            <w:tcW w:type="dxa" w:w="2232"/>
            <w:vAlign w:val="center"/>
          </w:tcPr>
          <w:p>
            <w:r/>
            <w:r>
              <w:rPr>
                <w:rFonts w:ascii="Aptos" w:hAnsi="Aptos"/>
                <w:b w:val="0"/>
                <w:sz w:val="17"/>
              </w:rPr>
              <w:t>Problem validation</w:t>
            </w:r>
          </w:p>
        </w:tc>
        <w:tc>
          <w:tcPr>
            <w:tcW w:type="dxa" w:w="7848"/>
            <w:vAlign w:val="center"/>
          </w:tcPr>
          <w:p>
            <w:r/>
            <w:r>
              <w:rPr>
                <w:rFonts w:ascii="Aptos" w:hAnsi="Aptos"/>
                <w:b w:val="0"/>
                <w:sz w:val="17"/>
              </w:rPr>
              <w:t>Confirm the user problem and the markets or plant domains where regional intelligence has meaningful value.</w:t>
            </w:r>
          </w:p>
        </w:tc>
      </w:tr>
      <w:tr>
        <w:trPr>
          <w:cantSplit/>
        </w:trPr>
        <w:tc>
          <w:tcPr>
            <w:tcW w:type="dxa" w:w="2232"/>
            <w:vAlign w:val="center"/>
          </w:tcPr>
          <w:p>
            <w:r/>
            <w:r>
              <w:rPr>
                <w:rFonts w:ascii="Aptos" w:hAnsi="Aptos"/>
                <w:b w:val="0"/>
                <w:sz w:val="17"/>
              </w:rPr>
              <w:t>Content authority</w:t>
            </w:r>
          </w:p>
        </w:tc>
        <w:tc>
          <w:tcPr>
            <w:tcW w:type="dxa" w:w="7848"/>
            <w:vAlign w:val="center"/>
          </w:tcPr>
          <w:p>
            <w:r/>
            <w:r>
              <w:rPr>
                <w:rFonts w:ascii="Aptos" w:hAnsi="Aptos"/>
                <w:b w:val="0"/>
                <w:sz w:val="17"/>
              </w:rPr>
              <w:t>Define credible source ownership, validation and review responsibility.</w:t>
            </w:r>
          </w:p>
        </w:tc>
      </w:tr>
      <w:tr>
        <w:trPr>
          <w:cantSplit/>
        </w:trPr>
        <w:tc>
          <w:tcPr>
            <w:tcW w:type="dxa" w:w="2232"/>
            <w:vAlign w:val="center"/>
          </w:tcPr>
          <w:p>
            <w:r/>
            <w:r>
              <w:rPr>
                <w:rFonts w:ascii="Aptos" w:hAnsi="Aptos"/>
                <w:b w:val="0"/>
                <w:sz w:val="17"/>
              </w:rPr>
              <w:t>Knowledge model</w:t>
            </w:r>
          </w:p>
        </w:tc>
        <w:tc>
          <w:tcPr>
            <w:tcW w:type="dxa" w:w="7848"/>
            <w:vAlign w:val="center"/>
          </w:tcPr>
          <w:p>
            <w:r/>
            <w:r>
              <w:rPr>
                <w:rFonts w:ascii="Aptos" w:hAnsi="Aptos"/>
                <w:b w:val="0"/>
                <w:sz w:val="17"/>
              </w:rPr>
              <w:t>Define how species, varieties, synonyms and regional attributes can be represented with known limitations.</w:t>
            </w:r>
          </w:p>
        </w:tc>
      </w:tr>
      <w:tr>
        <w:trPr>
          <w:cantSplit/>
        </w:trPr>
        <w:tc>
          <w:tcPr>
            <w:tcW w:type="dxa" w:w="2232"/>
            <w:vAlign w:val="center"/>
          </w:tcPr>
          <w:p>
            <w:r/>
            <w:r>
              <w:rPr>
                <w:rFonts w:ascii="Aptos" w:hAnsi="Aptos"/>
                <w:b w:val="0"/>
                <w:sz w:val="17"/>
              </w:rPr>
              <w:t>Regional scope</w:t>
            </w:r>
          </w:p>
        </w:tc>
        <w:tc>
          <w:tcPr>
            <w:tcW w:type="dxa" w:w="7848"/>
            <w:vAlign w:val="center"/>
          </w:tcPr>
          <w:p>
            <w:r/>
            <w:r>
              <w:rPr>
                <w:rFonts w:ascii="Aptos" w:hAnsi="Aptos"/>
                <w:b w:val="0"/>
                <w:sz w:val="17"/>
              </w:rPr>
              <w:t>Define which regional differences are material enough to support rather than attempting universal coverage.</w:t>
            </w:r>
          </w:p>
        </w:tc>
      </w:tr>
      <w:tr>
        <w:trPr>
          <w:cantSplit/>
        </w:trPr>
        <w:tc>
          <w:tcPr>
            <w:tcW w:type="dxa" w:w="2232"/>
            <w:vAlign w:val="center"/>
          </w:tcPr>
          <w:p>
            <w:r/>
            <w:r>
              <w:rPr>
                <w:rFonts w:ascii="Aptos" w:hAnsi="Aptos"/>
                <w:b w:val="0"/>
                <w:sz w:val="17"/>
              </w:rPr>
              <w:t>Localisation</w:t>
            </w:r>
          </w:p>
        </w:tc>
        <w:tc>
          <w:tcPr>
            <w:tcW w:type="dxa" w:w="7848"/>
            <w:vAlign w:val="center"/>
          </w:tcPr>
          <w:p>
            <w:r/>
            <w:r>
              <w:rPr>
                <w:rFonts w:ascii="Aptos" w:hAnsi="Aptos"/>
                <w:b w:val="0"/>
                <w:sz w:val="17"/>
              </w:rPr>
              <w:t>Define the language, terminology, measurement and adaptation model for the selected markets.</w:t>
            </w:r>
          </w:p>
        </w:tc>
      </w:tr>
      <w:tr>
        <w:trPr>
          <w:cantSplit/>
        </w:trPr>
        <w:tc>
          <w:tcPr>
            <w:tcW w:type="dxa" w:w="2232"/>
            <w:vAlign w:val="center"/>
          </w:tcPr>
          <w:p>
            <w:r/>
            <w:r>
              <w:rPr>
                <w:rFonts w:ascii="Aptos" w:hAnsi="Aptos"/>
                <w:b w:val="0"/>
                <w:sz w:val="17"/>
              </w:rPr>
              <w:t>Regulatory assessment</w:t>
            </w:r>
          </w:p>
        </w:tc>
        <w:tc>
          <w:tcPr>
            <w:tcW w:type="dxa" w:w="7848"/>
            <w:vAlign w:val="center"/>
          </w:tcPr>
          <w:p>
            <w:r/>
            <w:r>
              <w:rPr>
                <w:rFonts w:ascii="Aptos" w:hAnsi="Aptos"/>
                <w:b w:val="0"/>
                <w:sz w:val="17"/>
              </w:rPr>
              <w:t>Identify relevant jurisdictional constraints before content is treated as globally reusable.</w:t>
            </w:r>
          </w:p>
        </w:tc>
      </w:tr>
      <w:tr>
        <w:trPr>
          <w:cantSplit/>
        </w:trPr>
        <w:tc>
          <w:tcPr>
            <w:tcW w:type="dxa" w:w="2232"/>
            <w:vAlign w:val="center"/>
          </w:tcPr>
          <w:p>
            <w:r/>
            <w:r>
              <w:rPr>
                <w:rFonts w:ascii="Aptos" w:hAnsi="Aptos"/>
                <w:b w:val="0"/>
                <w:sz w:val="17"/>
              </w:rPr>
              <w:t>Operating model</w:t>
            </w:r>
          </w:p>
        </w:tc>
        <w:tc>
          <w:tcPr>
            <w:tcW w:type="dxa" w:w="7848"/>
            <w:vAlign w:val="center"/>
          </w:tcPr>
          <w:p>
            <w:r/>
            <w:r>
              <w:rPr>
                <w:rFonts w:ascii="Aptos" w:hAnsi="Aptos"/>
                <w:b w:val="0"/>
                <w:sz w:val="17"/>
              </w:rPr>
              <w:t>Define how regional content is created, approved, maintained, monitored and retired.</w:t>
            </w:r>
          </w:p>
        </w:tc>
      </w:tr>
      <w:tr>
        <w:trPr>
          <w:cantSplit/>
        </w:trPr>
        <w:tc>
          <w:tcPr>
            <w:tcW w:type="dxa" w:w="2232"/>
            <w:vAlign w:val="center"/>
          </w:tcPr>
          <w:p>
            <w:r/>
            <w:r>
              <w:rPr>
                <w:rFonts w:ascii="Aptos" w:hAnsi="Aptos"/>
                <w:b w:val="0"/>
                <w:sz w:val="17"/>
              </w:rPr>
              <w:t>Acceptance logic</w:t>
            </w:r>
          </w:p>
        </w:tc>
        <w:tc>
          <w:tcPr>
            <w:tcW w:type="dxa" w:w="7848"/>
            <w:vAlign w:val="center"/>
          </w:tcPr>
          <w:p>
            <w:r/>
            <w:r>
              <w:rPr>
                <w:rFonts w:ascii="Aptos" w:hAnsi="Aptos"/>
                <w:b w:val="0"/>
                <w:sz w:val="17"/>
              </w:rPr>
              <w:t>Only after the above are resolved can testable acceptance criteria be written.</w:t>
            </w:r>
          </w:p>
        </w:tc>
      </w:tr>
      <w:tr>
        <w:trPr>
          <w:cantSplit/>
        </w:trPr>
        <w:tc>
          <w:tcPr>
            <w:tcW w:type="dxa" w:w="2232"/>
            <w:vAlign w:val="center"/>
          </w:tcPr>
          <w:p>
            <w:r/>
            <w:r>
              <w:rPr>
                <w:rFonts w:ascii="Aptos" w:hAnsi="Aptos"/>
                <w:b w:val="0"/>
                <w:sz w:val="17"/>
              </w:rPr>
              <w:t>Value and priority</w:t>
            </w:r>
          </w:p>
        </w:tc>
        <w:tc>
          <w:tcPr>
            <w:tcW w:type="dxa" w:w="7848"/>
            <w:vAlign w:val="center"/>
          </w:tcPr>
          <w:p>
            <w:r/>
            <w:r>
              <w:rPr>
                <w:rFonts w:ascii="Aptos" w:hAnsi="Aptos"/>
                <w:b w:val="0"/>
                <w:sz w:val="17"/>
              </w:rPr>
              <w:t>GreenSphere makes an evidence-based decision on whether F04 should progress and which regions or plant domains should be prioritised.</w:t>
            </w:r>
          </w:p>
        </w:tc>
      </w:tr>
    </w:tbl>
    <w:p>
      <w:pPr>
        <w:spacing w:after="40"/>
      </w:pPr>
    </w:p>
    <w:p>
      <w:pPr>
        <w:pStyle w:val="Heading1"/>
        <w:spacing w:before="160" w:after="60"/>
      </w:pPr>
      <w:r>
        <w:t>10. Pass 2 Decision</w:t>
      </w:r>
    </w:p>
    <w:p>
      <w:pPr>
        <w:spacing w:after="80"/>
      </w:pPr>
      <w:r>
        <w:t>Current decision: EPIC-F04 is retained as a credible future-state discovery candidate, but it is not ready for Jira translation. The discovery must first establish the user value, trusted knowledge sources, regional scope, localisation model, regulatory boundaries, content operating model and evidence needed to support geographically relevant plant information.</w:t>
      </w:r>
    </w:p>
    <w:p>
      <w:pPr>
        <w:spacing w:after="80"/>
      </w:pPr>
      <w:r>
        <w:t>Next controlled step: Resolve the F04 discovery questions before assigning a future requirement ID or story ID. No Story Points, Bugs, sprint results or delivery claims are created in discovery.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EcoGrow Future-State Discovery | EPIC-F04 | Deep Discovery | Pass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EcoGrow Future-State Discovery | EPIC-F04 | Pass 2 | Doris Frank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