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sz w:val="19"/>
        </w:rPr>
        <w:t>EcoGrow Future-State Discovery | EPIC-F04 | Pass 3 | Doris Frank</w:t>
      </w:r>
    </w:p>
    <w:p>
      <w:pPr>
        <w:pStyle w:val="Title"/>
        <w:jc w:val="left"/>
      </w:pPr>
      <w:r>
        <w:t>EcoGrow Future-State Discovery</w:t>
        <w:br/>
        <w:t>EPIC-F04 Global Plant Intelligence | Delivery Translation | Pass 3</w:t>
      </w:r>
    </w:p>
    <w:p>
      <w:r>
        <w:rPr>
          <w:rFonts w:ascii="Aptos" w:hAnsi="Aptos"/>
          <w:b w:val="0"/>
          <w:sz w:val="19"/>
        </w:rPr>
        <w:t>Prepared by Doris Frank, Business Analyst</w:t>
      </w:r>
    </w:p>
    <w:p>
      <w:r>
        <w:rPr>
          <w:rFonts w:ascii="Aptos" w:hAnsi="Aptos"/>
          <w:b w:val="0"/>
          <w:sz w:val="19"/>
        </w:rPr>
        <w:t>Status: Controlled future-state translation. This document does not amend the locked MVP, create Jira commitments, or represent approved delivery scope.</w:t>
      </w:r>
    </w:p>
    <w:p>
      <w:r>
        <w:rPr>
          <w:rFonts w:ascii="Aptos" w:hAnsi="Aptos"/>
          <w:b w:val="0"/>
          <w:sz w:val="19"/>
        </w:rPr>
        <w:t>Pass 3 translates the F04 structure established in Pass 2. The nine discovery gates remain explicit progression controls.</w:t>
      </w:r>
    </w:p>
    <w:p>
      <w:r>
        <w:rPr>
          <w:rFonts w:ascii="Aptos" w:hAnsi="Aptos"/>
          <w:b/>
          <w:sz w:val="19"/>
        </w:rPr>
        <w:t>1. Translation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Control</w:t>
            </w:r>
          </w:p>
        </w:tc>
        <w:tc>
          <w:tcPr>
            <w:tcW w:type="dxa" w:w="5112"/>
            <w:vAlign w:val="center"/>
            <w:shd w:fill="D9EAF7"/>
          </w:tcPr>
          <w:p>
            <w:r/>
            <w:r>
              <w:rPr>
                <w:rFonts w:ascii="Aptos" w:hAnsi="Aptos"/>
                <w:b/>
                <w:sz w:val="17"/>
              </w:rPr>
              <w:t>Current position</w:t>
            </w:r>
          </w:p>
        </w:tc>
      </w:tr>
      <w:tr>
        <w:tc>
          <w:tcPr>
            <w:tcW w:type="dxa" w:w="5112"/>
            <w:vAlign w:val="center"/>
          </w:tcPr>
          <w:p>
            <w:r/>
            <w:r>
              <w:rPr>
                <w:rFonts w:ascii="Aptos" w:hAnsi="Aptos"/>
                <w:b w:val="0"/>
                <w:sz w:val="17"/>
              </w:rPr>
              <w:t>Epic</w:t>
            </w:r>
          </w:p>
        </w:tc>
        <w:tc>
          <w:tcPr>
            <w:tcW w:type="dxa" w:w="5112"/>
            <w:vAlign w:val="center"/>
          </w:tcPr>
          <w:p>
            <w:r/>
            <w:r>
              <w:rPr>
                <w:rFonts w:ascii="Aptos" w:hAnsi="Aptos"/>
                <w:b w:val="0"/>
                <w:sz w:val="17"/>
              </w:rPr>
              <w:t>EPIC-F04 Global Plant Intelligence</w:t>
            </w:r>
          </w:p>
        </w:tc>
      </w:tr>
      <w:tr>
        <w:tc>
          <w:tcPr>
            <w:tcW w:type="dxa" w:w="5112"/>
            <w:vAlign w:val="center"/>
          </w:tcPr>
          <w:p>
            <w:r/>
            <w:r>
              <w:rPr>
                <w:rFonts w:ascii="Aptos" w:hAnsi="Aptos"/>
                <w:b w:val="0"/>
                <w:sz w:val="17"/>
              </w:rPr>
              <w:t>Features</w:t>
            </w:r>
          </w:p>
        </w:tc>
        <w:tc>
          <w:tcPr>
            <w:tcW w:type="dxa" w:w="5112"/>
            <w:vAlign w:val="center"/>
          </w:tcPr>
          <w:p>
            <w:r/>
            <w:r>
              <w:rPr>
                <w:rFonts w:ascii="Aptos" w:hAnsi="Aptos"/>
                <w:b w:val="0"/>
                <w:sz w:val="17"/>
              </w:rPr>
              <w:t>F04.1 Plant Knowledge Expansion; F04.2 Regional Plant Context; F04.3 Climate and Growing-Season Context; F04.4 Localisation and Content Adaptation</w:t>
            </w:r>
          </w:p>
        </w:tc>
      </w:tr>
      <w:tr>
        <w:tc>
          <w:tcPr>
            <w:tcW w:type="dxa" w:w="5112"/>
            <w:vAlign w:val="center"/>
          </w:tcPr>
          <w:p>
            <w:r/>
            <w:r>
              <w:rPr>
                <w:rFonts w:ascii="Aptos" w:hAnsi="Aptos"/>
                <w:b w:val="0"/>
                <w:sz w:val="17"/>
              </w:rPr>
              <w:t>Future requirement IDs</w:t>
            </w:r>
          </w:p>
        </w:tc>
        <w:tc>
          <w:tcPr>
            <w:tcW w:type="dxa" w:w="5112"/>
            <w:vAlign w:val="center"/>
          </w:tcPr>
          <w:p>
            <w:r/>
            <w:r>
              <w:rPr>
                <w:rFonts w:ascii="Aptos" w:hAnsi="Aptos"/>
                <w:b w:val="0"/>
                <w:sz w:val="17"/>
              </w:rPr>
              <w:t>Not assigned in this pass</w:t>
            </w:r>
          </w:p>
        </w:tc>
      </w:tr>
      <w:tr>
        <w:tc>
          <w:tcPr>
            <w:tcW w:type="dxa" w:w="5112"/>
            <w:vAlign w:val="center"/>
          </w:tcPr>
          <w:p>
            <w:r/>
            <w:r>
              <w:rPr>
                <w:rFonts w:ascii="Aptos" w:hAnsi="Aptos"/>
                <w:b w:val="0"/>
                <w:sz w:val="17"/>
              </w:rPr>
              <w:t>Future story ID</w:t>
            </w:r>
          </w:p>
        </w:tc>
        <w:tc>
          <w:tcPr>
            <w:tcW w:type="dxa" w:w="5112"/>
            <w:vAlign w:val="center"/>
          </w:tcPr>
          <w:p>
            <w:r/>
            <w:r>
              <w:rPr>
                <w:rFonts w:ascii="Aptos" w:hAnsi="Aptos"/>
                <w:b w:val="0"/>
                <w:sz w:val="17"/>
              </w:rPr>
              <w:t>Not assigned in this pass</w:t>
            </w:r>
          </w:p>
        </w:tc>
      </w:tr>
      <w:tr>
        <w:tc>
          <w:tcPr>
            <w:tcW w:type="dxa" w:w="5112"/>
            <w:vAlign w:val="center"/>
          </w:tcPr>
          <w:p>
            <w:r/>
            <w:r>
              <w:rPr>
                <w:rFonts w:ascii="Aptos" w:hAnsi="Aptos"/>
                <w:b w:val="0"/>
                <w:sz w:val="17"/>
              </w:rPr>
              <w:t>Jira status</w:t>
            </w:r>
          </w:p>
        </w:tc>
        <w:tc>
          <w:tcPr>
            <w:tcW w:type="dxa" w:w="5112"/>
            <w:vAlign w:val="center"/>
          </w:tcPr>
          <w:p>
            <w:r/>
            <w:r>
              <w:rPr>
                <w:rFonts w:ascii="Aptos" w:hAnsi="Aptos"/>
                <w:b w:val="0"/>
                <w:sz w:val="17"/>
              </w:rPr>
              <w:t>Not approved for Jira creation</w:t>
            </w:r>
          </w:p>
        </w:tc>
      </w:tr>
      <w:tr>
        <w:tc>
          <w:tcPr>
            <w:tcW w:type="dxa" w:w="5112"/>
            <w:vAlign w:val="center"/>
          </w:tcPr>
          <w:p>
            <w:r/>
            <w:r>
              <w:rPr>
                <w:rFonts w:ascii="Aptos" w:hAnsi="Aptos"/>
                <w:b w:val="0"/>
                <w:sz w:val="17"/>
              </w:rPr>
              <w:t>Primary gates</w:t>
            </w:r>
          </w:p>
        </w:tc>
        <w:tc>
          <w:tcPr>
            <w:tcW w:type="dxa" w:w="5112"/>
            <w:vAlign w:val="center"/>
          </w:tcPr>
          <w:p>
            <w:r/>
            <w:r>
              <w:rPr>
                <w:rFonts w:ascii="Aptos" w:hAnsi="Aptos"/>
                <w:b w:val="0"/>
                <w:sz w:val="17"/>
              </w:rPr>
              <w:t>User value, content authority, knowledge model, regional scope, localisation, regulatory assessment, operating model, acceptance logic, value and priority</w:t>
            </w:r>
          </w:p>
        </w:tc>
      </w:tr>
      <w:tr>
        <w:tc>
          <w:tcPr>
            <w:tcW w:type="dxa" w:w="5112"/>
            <w:vAlign w:val="center"/>
          </w:tcPr>
          <w:p>
            <w:r/>
            <w:r>
              <w:rPr>
                <w:rFonts w:ascii="Aptos" w:hAnsi="Aptos"/>
                <w:b w:val="0"/>
                <w:sz w:val="17"/>
              </w:rPr>
              <w:t>Estimation</w:t>
            </w:r>
          </w:p>
        </w:tc>
        <w:tc>
          <w:tcPr>
            <w:tcW w:type="dxa" w:w="5112"/>
            <w:vAlign w:val="center"/>
          </w:tcPr>
          <w:p>
            <w:r/>
            <w:r>
              <w:rPr>
                <w:rFonts w:ascii="Aptos" w:hAnsi="Aptos"/>
                <w:b w:val="0"/>
                <w:sz w:val="17"/>
              </w:rPr>
              <w:t>No Story Points until real Sprint Planning</w:t>
            </w:r>
          </w:p>
        </w:tc>
      </w:tr>
    </w:tbl>
    <w:p>
      <w:r>
        <w:rPr>
          <w:rFonts w:ascii="Aptos" w:hAnsi="Aptos"/>
          <w:b/>
          <w:sz w:val="19"/>
        </w:rPr>
        <w:t>2. Translation Principle</w:t>
      </w:r>
    </w:p>
    <w:p>
      <w:r>
        <w:rPr>
          <w:rFonts w:ascii="Aptos" w:hAnsi="Aptos"/>
          <w:b w:val="0"/>
          <w:sz w:val="19"/>
        </w:rPr>
        <w:t>I am translating F04 into a controlled delivery structure while keeping unresolved discovery questions visible. The current evidence supports feature-level structure and candidate requirement wording. It does not support formal future requirement IDs, a story ID, testable acceptance criteria, or Jira creation.</w:t>
      </w:r>
    </w:p>
    <w:p>
      <w:r>
        <w:rPr>
          <w:rFonts w:ascii="Aptos" w:hAnsi="Aptos"/>
          <w:b w:val="0"/>
          <w:sz w:val="19"/>
        </w:rPr>
        <w:t>F04 receives a constrained translation because regional content authority, knowledge representation, market scope, localisation, regulatory boundaries, operating ownership, and priority remain open. The locked MVP and the established F01, F02, F03, F05 and F06 boundaries remain separate.</w:t>
      </w:r>
    </w:p>
    <w:p>
      <w:r>
        <w:rPr>
          <w:rFonts w:ascii="Aptos" w:hAnsi="Aptos"/>
          <w:b/>
          <w:sz w:val="19"/>
        </w:rPr>
        <w:t>3. Future-State Delivery Structure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7"/>
              </w:rPr>
              <w:t>Level</w:t>
            </w:r>
          </w:p>
        </w:tc>
        <w:tc>
          <w:tcPr>
            <w:tcW w:type="dxa" w:w="2556"/>
            <w:vAlign w:val="center"/>
            <w:shd w:fill="D9EAF7"/>
          </w:tcPr>
          <w:p>
            <w:r/>
            <w:r>
              <w:rPr>
                <w:rFonts w:ascii="Aptos" w:hAnsi="Aptos"/>
                <w:b/>
                <w:sz w:val="17"/>
              </w:rPr>
              <w:t>ID / label</w:t>
            </w:r>
          </w:p>
        </w:tc>
        <w:tc>
          <w:tcPr>
            <w:tcW w:type="dxa" w:w="2556"/>
            <w:vAlign w:val="center"/>
            <w:shd w:fill="D9EAF7"/>
          </w:tcPr>
          <w:p>
            <w:r/>
            <w:r>
              <w:rPr>
                <w:rFonts w:ascii="Aptos" w:hAnsi="Aptos"/>
                <w:b/>
                <w:sz w:val="17"/>
              </w:rPr>
              <w:t>Position</w:t>
            </w:r>
          </w:p>
        </w:tc>
        <w:tc>
          <w:tcPr>
            <w:tcW w:type="dxa" w:w="2556"/>
            <w:vAlign w:val="center"/>
            <w:shd w:fill="D9EAF7"/>
          </w:tcPr>
          <w:p>
            <w:r/>
            <w:r>
              <w:rPr>
                <w:rFonts w:ascii="Aptos" w:hAnsi="Aptos"/>
                <w:b/>
                <w:sz w:val="17"/>
              </w:rPr>
              <w:t>Status</w:t>
            </w:r>
          </w:p>
        </w:tc>
      </w:tr>
      <w:tr>
        <w:tc>
          <w:tcPr>
            <w:tcW w:type="dxa" w:w="2556"/>
            <w:vAlign w:val="center"/>
          </w:tcPr>
          <w:p>
            <w:r/>
            <w:r>
              <w:rPr>
                <w:rFonts w:ascii="Aptos" w:hAnsi="Aptos"/>
                <w:b w:val="0"/>
                <w:sz w:val="17"/>
              </w:rPr>
              <w:t>Epic</w:t>
            </w:r>
          </w:p>
        </w:tc>
        <w:tc>
          <w:tcPr>
            <w:tcW w:type="dxa" w:w="2556"/>
            <w:vAlign w:val="center"/>
          </w:tcPr>
          <w:p>
            <w:r/>
            <w:r>
              <w:rPr>
                <w:rFonts w:ascii="Aptos" w:hAnsi="Aptos"/>
                <w:b w:val="0"/>
                <w:sz w:val="17"/>
              </w:rPr>
              <w:t>EPIC-F04</w:t>
            </w:r>
          </w:p>
        </w:tc>
        <w:tc>
          <w:tcPr>
            <w:tcW w:type="dxa" w:w="2556"/>
            <w:vAlign w:val="center"/>
          </w:tcPr>
          <w:p>
            <w:r/>
            <w:r>
              <w:rPr>
                <w:rFonts w:ascii="Aptos" w:hAnsi="Aptos"/>
                <w:b w:val="0"/>
                <w:sz w:val="17"/>
              </w:rPr>
              <w:t>Global Plant Intelligence</w:t>
            </w:r>
          </w:p>
        </w:tc>
        <w:tc>
          <w:tcPr>
            <w:tcW w:type="dxa" w:w="2556"/>
            <w:vAlign w:val="center"/>
          </w:tcPr>
          <w:p>
            <w:r/>
            <w:r>
              <w:rPr>
                <w:rFonts w:ascii="Aptos" w:hAnsi="Aptos"/>
                <w:b w:val="0"/>
                <w:sz w:val="17"/>
              </w:rPr>
              <w:t>Discovery candidate</w:t>
            </w:r>
          </w:p>
        </w:tc>
      </w:tr>
      <w:tr>
        <w:tc>
          <w:tcPr>
            <w:tcW w:type="dxa" w:w="2556"/>
            <w:vAlign w:val="center"/>
          </w:tcPr>
          <w:p>
            <w:r/>
            <w:r>
              <w:rPr>
                <w:rFonts w:ascii="Aptos" w:hAnsi="Aptos"/>
                <w:b w:val="0"/>
                <w:sz w:val="17"/>
              </w:rPr>
              <w:t>Feature</w:t>
            </w:r>
          </w:p>
        </w:tc>
        <w:tc>
          <w:tcPr>
            <w:tcW w:type="dxa" w:w="2556"/>
            <w:vAlign w:val="center"/>
          </w:tcPr>
          <w:p>
            <w:r/>
            <w:r>
              <w:rPr>
                <w:rFonts w:ascii="Aptos" w:hAnsi="Aptos"/>
                <w:b w:val="0"/>
                <w:sz w:val="17"/>
              </w:rPr>
              <w:t>F04.1</w:t>
            </w:r>
          </w:p>
        </w:tc>
        <w:tc>
          <w:tcPr>
            <w:tcW w:type="dxa" w:w="2556"/>
            <w:vAlign w:val="center"/>
          </w:tcPr>
          <w:p>
            <w:r/>
            <w:r>
              <w:rPr>
                <w:rFonts w:ascii="Aptos" w:hAnsi="Aptos"/>
                <w:b w:val="0"/>
                <w:sz w:val="17"/>
              </w:rPr>
              <w:t>Plant Knowledge Expansion</w:t>
            </w:r>
          </w:p>
        </w:tc>
        <w:tc>
          <w:tcPr>
            <w:tcW w:type="dxa" w:w="2556"/>
            <w:vAlign w:val="center"/>
          </w:tcPr>
          <w:p>
            <w:r/>
            <w:r>
              <w:rPr>
                <w:rFonts w:ascii="Aptos" w:hAnsi="Aptos"/>
                <w:b w:val="0"/>
                <w:sz w:val="17"/>
              </w:rPr>
              <w:t>Discovery feature</w:t>
            </w:r>
          </w:p>
        </w:tc>
      </w:tr>
      <w:tr>
        <w:tc>
          <w:tcPr>
            <w:tcW w:type="dxa" w:w="2556"/>
            <w:vAlign w:val="center"/>
          </w:tcPr>
          <w:p>
            <w:r/>
            <w:r>
              <w:rPr>
                <w:rFonts w:ascii="Aptos" w:hAnsi="Aptos"/>
                <w:b w:val="0"/>
                <w:sz w:val="17"/>
              </w:rPr>
              <w:t>Feature</w:t>
            </w:r>
          </w:p>
        </w:tc>
        <w:tc>
          <w:tcPr>
            <w:tcW w:type="dxa" w:w="2556"/>
            <w:vAlign w:val="center"/>
          </w:tcPr>
          <w:p>
            <w:r/>
            <w:r>
              <w:rPr>
                <w:rFonts w:ascii="Aptos" w:hAnsi="Aptos"/>
                <w:b w:val="0"/>
                <w:sz w:val="17"/>
              </w:rPr>
              <w:t>F04.2</w:t>
            </w:r>
          </w:p>
        </w:tc>
        <w:tc>
          <w:tcPr>
            <w:tcW w:type="dxa" w:w="2556"/>
            <w:vAlign w:val="center"/>
          </w:tcPr>
          <w:p>
            <w:r/>
            <w:r>
              <w:rPr>
                <w:rFonts w:ascii="Aptos" w:hAnsi="Aptos"/>
                <w:b w:val="0"/>
                <w:sz w:val="17"/>
              </w:rPr>
              <w:t>Regional Plant Context</w:t>
            </w:r>
          </w:p>
        </w:tc>
        <w:tc>
          <w:tcPr>
            <w:tcW w:type="dxa" w:w="2556"/>
            <w:vAlign w:val="center"/>
          </w:tcPr>
          <w:p>
            <w:r/>
            <w:r>
              <w:rPr>
                <w:rFonts w:ascii="Aptos" w:hAnsi="Aptos"/>
                <w:b w:val="0"/>
                <w:sz w:val="17"/>
              </w:rPr>
              <w:t>Discovery feature</w:t>
            </w:r>
          </w:p>
        </w:tc>
      </w:tr>
      <w:tr>
        <w:tc>
          <w:tcPr>
            <w:tcW w:type="dxa" w:w="2556"/>
            <w:vAlign w:val="center"/>
          </w:tcPr>
          <w:p>
            <w:r/>
            <w:r>
              <w:rPr>
                <w:rFonts w:ascii="Aptos" w:hAnsi="Aptos"/>
                <w:b w:val="0"/>
                <w:sz w:val="17"/>
              </w:rPr>
              <w:t>Feature</w:t>
            </w:r>
          </w:p>
        </w:tc>
        <w:tc>
          <w:tcPr>
            <w:tcW w:type="dxa" w:w="2556"/>
            <w:vAlign w:val="center"/>
          </w:tcPr>
          <w:p>
            <w:r/>
            <w:r>
              <w:rPr>
                <w:rFonts w:ascii="Aptos" w:hAnsi="Aptos"/>
                <w:b w:val="0"/>
                <w:sz w:val="17"/>
              </w:rPr>
              <w:t>F04.3</w:t>
            </w:r>
          </w:p>
        </w:tc>
        <w:tc>
          <w:tcPr>
            <w:tcW w:type="dxa" w:w="2556"/>
            <w:vAlign w:val="center"/>
          </w:tcPr>
          <w:p>
            <w:r/>
            <w:r>
              <w:rPr>
                <w:rFonts w:ascii="Aptos" w:hAnsi="Aptos"/>
                <w:b w:val="0"/>
                <w:sz w:val="17"/>
              </w:rPr>
              <w:t>Climate and Growing-Season Context</w:t>
            </w:r>
          </w:p>
        </w:tc>
        <w:tc>
          <w:tcPr>
            <w:tcW w:type="dxa" w:w="2556"/>
            <w:vAlign w:val="center"/>
          </w:tcPr>
          <w:p>
            <w:r/>
            <w:r>
              <w:rPr>
                <w:rFonts w:ascii="Aptos" w:hAnsi="Aptos"/>
                <w:b w:val="0"/>
                <w:sz w:val="17"/>
              </w:rPr>
              <w:t>Discovery feature</w:t>
            </w:r>
          </w:p>
        </w:tc>
      </w:tr>
      <w:tr>
        <w:tc>
          <w:tcPr>
            <w:tcW w:type="dxa" w:w="2556"/>
            <w:vAlign w:val="center"/>
          </w:tcPr>
          <w:p>
            <w:r/>
            <w:r>
              <w:rPr>
                <w:rFonts w:ascii="Aptos" w:hAnsi="Aptos"/>
                <w:b w:val="0"/>
                <w:sz w:val="17"/>
              </w:rPr>
              <w:t>Feature</w:t>
            </w:r>
          </w:p>
        </w:tc>
        <w:tc>
          <w:tcPr>
            <w:tcW w:type="dxa" w:w="2556"/>
            <w:vAlign w:val="center"/>
          </w:tcPr>
          <w:p>
            <w:r/>
            <w:r>
              <w:rPr>
                <w:rFonts w:ascii="Aptos" w:hAnsi="Aptos"/>
                <w:b w:val="0"/>
                <w:sz w:val="17"/>
              </w:rPr>
              <w:t>F04.4</w:t>
            </w:r>
          </w:p>
        </w:tc>
        <w:tc>
          <w:tcPr>
            <w:tcW w:type="dxa" w:w="2556"/>
            <w:vAlign w:val="center"/>
          </w:tcPr>
          <w:p>
            <w:r/>
            <w:r>
              <w:rPr>
                <w:rFonts w:ascii="Aptos" w:hAnsi="Aptos"/>
                <w:b w:val="0"/>
                <w:sz w:val="17"/>
              </w:rPr>
              <w:t>Localisation and Content Adaptation</w:t>
            </w:r>
          </w:p>
        </w:tc>
        <w:tc>
          <w:tcPr>
            <w:tcW w:type="dxa" w:w="2556"/>
            <w:vAlign w:val="center"/>
          </w:tcPr>
          <w:p>
            <w:r/>
            <w:r>
              <w:rPr>
                <w:rFonts w:ascii="Aptos" w:hAnsi="Aptos"/>
                <w:b w:val="0"/>
                <w:sz w:val="17"/>
              </w:rPr>
              <w:t>Discovery feature, governance-gated</w:t>
            </w:r>
          </w:p>
        </w:tc>
      </w:tr>
      <w:tr>
        <w:tc>
          <w:tcPr>
            <w:tcW w:type="dxa" w:w="2556"/>
            <w:vAlign w:val="center"/>
          </w:tcPr>
          <w:p>
            <w:r/>
            <w:r>
              <w:rPr>
                <w:rFonts w:ascii="Aptos" w:hAnsi="Aptos"/>
                <w:b w:val="0"/>
                <w:sz w:val="17"/>
              </w:rPr>
              <w:t>Requirement</w:t>
            </w:r>
          </w:p>
        </w:tc>
        <w:tc>
          <w:tcPr>
            <w:tcW w:type="dxa" w:w="2556"/>
            <w:vAlign w:val="center"/>
          </w:tcPr>
          <w:p>
            <w:r/>
            <w:r>
              <w:rPr>
                <w:rFonts w:ascii="Aptos" w:hAnsi="Aptos"/>
                <w:b w:val="0"/>
                <w:sz w:val="17"/>
              </w:rPr>
              <w:t>Unassigned</w:t>
            </w:r>
          </w:p>
        </w:tc>
        <w:tc>
          <w:tcPr>
            <w:tcW w:type="dxa" w:w="2556"/>
            <w:vAlign w:val="center"/>
          </w:tcPr>
          <w:p>
            <w:r/>
            <w:r>
              <w:rPr>
                <w:rFonts w:ascii="Aptos" w:hAnsi="Aptos"/>
                <w:b w:val="0"/>
                <w:sz w:val="17"/>
              </w:rPr>
              <w:t>EcoGrow may provide plant knowledge that reflects relevant species, variety and regional context for selected markets.</w:t>
            </w:r>
          </w:p>
        </w:tc>
        <w:tc>
          <w:tcPr>
            <w:tcW w:type="dxa" w:w="2556"/>
            <w:vAlign w:val="center"/>
          </w:tcPr>
          <w:p>
            <w:r/>
            <w:r>
              <w:rPr>
                <w:rFonts w:ascii="Aptos" w:hAnsi="Aptos"/>
                <w:b w:val="0"/>
                <w:sz w:val="17"/>
              </w:rPr>
              <w:t>Candidate, no ID</w:t>
            </w:r>
          </w:p>
        </w:tc>
      </w:tr>
      <w:tr>
        <w:tc>
          <w:tcPr>
            <w:tcW w:type="dxa" w:w="2556"/>
            <w:vAlign w:val="center"/>
          </w:tcPr>
          <w:p>
            <w:r/>
            <w:r>
              <w:rPr>
                <w:rFonts w:ascii="Aptos" w:hAnsi="Aptos"/>
                <w:b w:val="0"/>
                <w:sz w:val="17"/>
              </w:rPr>
              <w:t>Requirement</w:t>
            </w:r>
          </w:p>
        </w:tc>
        <w:tc>
          <w:tcPr>
            <w:tcW w:type="dxa" w:w="2556"/>
            <w:vAlign w:val="center"/>
          </w:tcPr>
          <w:p>
            <w:r/>
            <w:r>
              <w:rPr>
                <w:rFonts w:ascii="Aptos" w:hAnsi="Aptos"/>
                <w:b w:val="0"/>
                <w:sz w:val="17"/>
              </w:rPr>
              <w:t>Unassigned</w:t>
            </w:r>
          </w:p>
        </w:tc>
        <w:tc>
          <w:tcPr>
            <w:tcW w:type="dxa" w:w="2556"/>
            <w:vAlign w:val="center"/>
          </w:tcPr>
          <w:p>
            <w:r/>
            <w:r>
              <w:rPr>
                <w:rFonts w:ascii="Aptos" w:hAnsi="Aptos"/>
                <w:b w:val="0"/>
                <w:sz w:val="17"/>
              </w:rPr>
              <w:t>EcoGrow may adapt plant information for validated local language, terminology, measurement and growing-season context.</w:t>
            </w:r>
          </w:p>
        </w:tc>
        <w:tc>
          <w:tcPr>
            <w:tcW w:type="dxa" w:w="2556"/>
            <w:vAlign w:val="center"/>
          </w:tcPr>
          <w:p>
            <w:r/>
            <w:r>
              <w:rPr>
                <w:rFonts w:ascii="Aptos" w:hAnsi="Aptos"/>
                <w:b w:val="0"/>
                <w:sz w:val="17"/>
              </w:rPr>
              <w:t>Candidate, governance-gated</w:t>
            </w:r>
          </w:p>
        </w:tc>
      </w:tr>
      <w:tr>
        <w:tc>
          <w:tcPr>
            <w:tcW w:type="dxa" w:w="2556"/>
            <w:vAlign w:val="center"/>
          </w:tcPr>
          <w:p>
            <w:r/>
            <w:r>
              <w:rPr>
                <w:rFonts w:ascii="Aptos" w:hAnsi="Aptos"/>
                <w:b w:val="0"/>
                <w:sz w:val="17"/>
              </w:rPr>
              <w:t>Story direction</w:t>
            </w:r>
          </w:p>
        </w:tc>
        <w:tc>
          <w:tcPr>
            <w:tcW w:type="dxa" w:w="2556"/>
            <w:vAlign w:val="center"/>
          </w:tcPr>
          <w:p>
            <w:r/>
            <w:r>
              <w:rPr>
                <w:rFonts w:ascii="Aptos" w:hAnsi="Aptos"/>
                <w:b w:val="0"/>
                <w:sz w:val="17"/>
              </w:rPr>
              <w:t>Unassigned</w:t>
            </w:r>
          </w:p>
        </w:tc>
        <w:tc>
          <w:tcPr>
            <w:tcW w:type="dxa" w:w="2556"/>
            <w:vAlign w:val="center"/>
          </w:tcPr>
          <w:p>
            <w:r/>
            <w:r>
              <w:rPr>
                <w:rFonts w:ascii="Aptos" w:hAnsi="Aptos"/>
                <w:b w:val="0"/>
                <w:sz w:val="17"/>
              </w:rPr>
              <w:t>As a gardener, I want plant information that reflects the context in which I grow the plant so that the information is more relevant to my location and conditions.</w:t>
            </w:r>
          </w:p>
        </w:tc>
        <w:tc>
          <w:tcPr>
            <w:tcW w:type="dxa" w:w="2556"/>
            <w:vAlign w:val="center"/>
          </w:tcPr>
          <w:p>
            <w:r/>
            <w:r>
              <w:rPr>
                <w:rFonts w:ascii="Aptos" w:hAnsi="Aptos"/>
                <w:b w:val="0"/>
                <w:sz w:val="17"/>
              </w:rPr>
              <w:t>Candidate, no ID</w:t>
            </w:r>
          </w:p>
        </w:tc>
      </w:tr>
    </w:tbl>
    <w:p>
      <w:r>
        <w:rPr>
          <w:rFonts w:ascii="Aptos" w:hAnsi="Aptos"/>
          <w:b/>
          <w:sz w:val="19"/>
        </w:rPr>
        <w:t>4. F04 Boundary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In scope</w:t>
            </w:r>
          </w:p>
        </w:tc>
        <w:tc>
          <w:tcPr>
            <w:tcW w:type="dxa" w:w="5112"/>
            <w:vAlign w:val="center"/>
            <w:shd w:fill="D9EAF7"/>
          </w:tcPr>
          <w:p>
            <w:r/>
            <w:r>
              <w:rPr>
                <w:rFonts w:ascii="Aptos" w:hAnsi="Aptos"/>
                <w:b/>
                <w:sz w:val="17"/>
              </w:rPr>
              <w:t>Not in scope</w:t>
            </w:r>
          </w:p>
        </w:tc>
      </w:tr>
      <w:tr>
        <w:tc>
          <w:tcPr>
            <w:tcW w:type="dxa" w:w="5112"/>
            <w:vAlign w:val="center"/>
          </w:tcPr>
          <w:p>
            <w:r/>
            <w:r>
              <w:rPr>
                <w:rFonts w:ascii="Aptos" w:hAnsi="Aptos"/>
                <w:b w:val="0"/>
                <w:sz w:val="17"/>
              </w:rPr>
              <w:t>Plant knowledge expansion across selected species and varieties.</w:t>
            </w:r>
          </w:p>
        </w:tc>
        <w:tc>
          <w:tcPr>
            <w:tcW w:type="dxa" w:w="5112"/>
            <w:vAlign w:val="center"/>
          </w:tcPr>
          <w:p>
            <w:r/>
            <w:r>
              <w:rPr>
                <w:rFonts w:ascii="Aptos" w:hAnsi="Aptos"/>
                <w:b w:val="0"/>
                <w:sz w:val="17"/>
              </w:rPr>
              <w:t>F01 plant-specific care and watering delivery.</w:t>
            </w:r>
          </w:p>
        </w:tc>
      </w:tr>
      <w:tr>
        <w:tc>
          <w:tcPr>
            <w:tcW w:type="dxa" w:w="5112"/>
            <w:vAlign w:val="center"/>
          </w:tcPr>
          <w:p>
            <w:r/>
            <w:r>
              <w:rPr>
                <w:rFonts w:ascii="Aptos" w:hAnsi="Aptos"/>
                <w:b w:val="0"/>
                <w:sz w:val="17"/>
              </w:rPr>
              <w:t>Regional plant context where evidence shows meaningful differences.</w:t>
            </w:r>
          </w:p>
        </w:tc>
        <w:tc>
          <w:tcPr>
            <w:tcW w:type="dxa" w:w="5112"/>
            <w:vAlign w:val="center"/>
          </w:tcPr>
          <w:p>
            <w:r/>
            <w:r>
              <w:rPr>
                <w:rFonts w:ascii="Aptos" w:hAnsi="Aptos"/>
                <w:b w:val="0"/>
                <w:sz w:val="17"/>
              </w:rPr>
              <w:t>F02 weather-aware context and real-time weather guidance.</w:t>
            </w:r>
          </w:p>
        </w:tc>
      </w:tr>
      <w:tr>
        <w:tc>
          <w:tcPr>
            <w:tcW w:type="dxa" w:w="5112"/>
            <w:vAlign w:val="center"/>
          </w:tcPr>
          <w:p>
            <w:r/>
            <w:r>
              <w:rPr>
                <w:rFonts w:ascii="Aptos" w:hAnsi="Aptos"/>
                <w:b w:val="0"/>
                <w:sz w:val="17"/>
              </w:rPr>
              <w:t>Climate and growing-season context as plant-information context.</w:t>
            </w:r>
          </w:p>
        </w:tc>
        <w:tc>
          <w:tcPr>
            <w:tcW w:type="dxa" w:w="5112"/>
            <w:vAlign w:val="center"/>
          </w:tcPr>
          <w:p>
            <w:r/>
            <w:r>
              <w:rPr>
                <w:rFonts w:ascii="Aptos" w:hAnsi="Aptos"/>
                <w:b w:val="0"/>
                <w:sz w:val="17"/>
              </w:rPr>
              <w:t>F03 plant-health identification and treatment.</w:t>
            </w:r>
          </w:p>
        </w:tc>
      </w:tr>
      <w:tr>
        <w:tc>
          <w:tcPr>
            <w:tcW w:type="dxa" w:w="5112"/>
            <w:vAlign w:val="center"/>
          </w:tcPr>
          <w:p>
            <w:r/>
            <w:r>
              <w:rPr>
                <w:rFonts w:ascii="Aptos" w:hAnsi="Aptos"/>
                <w:b w:val="0"/>
                <w:sz w:val="17"/>
              </w:rPr>
              <w:t>Localisation and content adaptation for selected markets.</w:t>
            </w:r>
          </w:p>
        </w:tc>
        <w:tc>
          <w:tcPr>
            <w:tcW w:type="dxa" w:w="5112"/>
            <w:vAlign w:val="center"/>
          </w:tcPr>
          <w:p>
            <w:r/>
            <w:r>
              <w:rPr>
                <w:rFonts w:ascii="Aptos" w:hAnsi="Aptos"/>
                <w:b w:val="0"/>
                <w:sz w:val="17"/>
              </w:rPr>
              <w:t>F05 personalised gardener profiles and personalisation logic.</w:t>
            </w:r>
          </w:p>
        </w:tc>
      </w:tr>
      <w:tr>
        <w:tc>
          <w:tcPr>
            <w:tcW w:type="dxa" w:w="5112"/>
            <w:vAlign w:val="center"/>
          </w:tcPr>
          <w:p>
            <w:r/>
            <w:r>
              <w:rPr>
                <w:rFonts w:ascii="Aptos" w:hAnsi="Aptos"/>
                <w:b w:val="0"/>
                <w:sz w:val="17"/>
              </w:rPr>
              <w:t>Regional content quality, lifecycle, regulatory and operating-model discovery.</w:t>
            </w:r>
          </w:p>
        </w:tc>
        <w:tc>
          <w:tcPr>
            <w:tcW w:type="dxa" w:w="5112"/>
            <w:vAlign w:val="center"/>
          </w:tcPr>
          <w:p>
            <w:r/>
            <w:r>
              <w:rPr>
                <w:rFonts w:ascii="Aptos" w:hAnsi="Aptos"/>
                <w:b w:val="0"/>
                <w:sz w:val="17"/>
              </w:rPr>
              <w:t>F06 platform scalability and global readiness as the broader system and business-case capability.</w:t>
            </w:r>
          </w:p>
        </w:tc>
      </w:tr>
      <w:tr>
        <w:tc>
          <w:tcPr>
            <w:tcW w:type="dxa" w:w="5112"/>
            <w:vAlign w:val="center"/>
          </w:tcPr>
          <w:p>
            <w:r/>
            <w:r>
              <w:rPr>
                <w:rFonts w:ascii="Aptos" w:hAnsi="Aptos"/>
                <w:b w:val="0"/>
                <w:sz w:val="17"/>
              </w:rPr>
              <w:t>Selected-market expansion only after value and governance decisions.</w:t>
            </w:r>
          </w:p>
        </w:tc>
        <w:tc>
          <w:tcPr>
            <w:tcW w:type="dxa" w:w="5112"/>
            <w:vAlign w:val="center"/>
          </w:tcPr>
          <w:p>
            <w:r/>
            <w:r>
              <w:rPr>
                <w:rFonts w:ascii="Aptos" w:hAnsi="Aptos"/>
                <w:b w:val="0"/>
                <w:sz w:val="17"/>
              </w:rPr>
              <w:t>Chemical or pesticide guidance introduced through F04.</w:t>
            </w:r>
          </w:p>
        </w:tc>
      </w:tr>
    </w:tbl>
    <w:p>
      <w:r>
        <w:rPr>
          <w:rFonts w:ascii="Aptos" w:hAnsi="Aptos"/>
          <w:b/>
          <w:sz w:val="19"/>
        </w:rPr>
        <w:t>5. Acceptance Logic Framework</w:t>
      </w:r>
    </w:p>
    <w:p>
      <w:r>
        <w:rPr>
          <w:rFonts w:ascii="Aptos" w:hAnsi="Aptos"/>
          <w:b w:val="0"/>
          <w:sz w:val="19"/>
        </w:rPr>
        <w:t>Formal testable acceptance criteria remain deferred. The following areas define the evidence required before acceptance criteria can be written.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7"/>
              </w:rPr>
              <w:t>Acceptance area</w:t>
            </w:r>
          </w:p>
        </w:tc>
        <w:tc>
          <w:tcPr>
            <w:tcW w:type="dxa" w:w="3408"/>
            <w:vAlign w:val="center"/>
            <w:shd w:fill="D9EAF7"/>
          </w:tcPr>
          <w:p>
            <w:r/>
            <w:r>
              <w:rPr>
                <w:rFonts w:ascii="Aptos" w:hAnsi="Aptos"/>
                <w:b/>
                <w:sz w:val="17"/>
              </w:rPr>
              <w:t>Translation focus</w:t>
            </w:r>
          </w:p>
        </w:tc>
        <w:tc>
          <w:tcPr>
            <w:tcW w:type="dxa" w:w="3408"/>
            <w:vAlign w:val="center"/>
            <w:shd w:fill="D9EAF7"/>
          </w:tcPr>
          <w:p>
            <w:r/>
            <w:r>
              <w:rPr>
                <w:rFonts w:ascii="Aptos" w:hAnsi="Aptos"/>
                <w:b/>
                <w:sz w:val="17"/>
              </w:rPr>
              <w:t>Gate</w:t>
            </w:r>
          </w:p>
        </w:tc>
      </w:tr>
      <w:tr>
        <w:tc>
          <w:tcPr>
            <w:tcW w:type="dxa" w:w="3408"/>
            <w:vAlign w:val="center"/>
          </w:tcPr>
          <w:p>
            <w:r/>
            <w:r>
              <w:rPr>
                <w:rFonts w:ascii="Aptos" w:hAnsi="Aptos"/>
                <w:b w:val="0"/>
                <w:sz w:val="17"/>
              </w:rPr>
              <w:t>Problem validation</w:t>
            </w:r>
          </w:p>
        </w:tc>
        <w:tc>
          <w:tcPr>
            <w:tcW w:type="dxa" w:w="3408"/>
            <w:vAlign w:val="center"/>
          </w:tcPr>
          <w:p>
            <w:r/>
            <w:r>
              <w:rPr>
                <w:rFonts w:ascii="Aptos" w:hAnsi="Aptos"/>
                <w:b w:val="0"/>
                <w:sz w:val="17"/>
              </w:rPr>
              <w:t>Confirm user need and the markets or plant domains where regional intelligence has meaningful value.</w:t>
            </w:r>
          </w:p>
        </w:tc>
        <w:tc>
          <w:tcPr>
            <w:tcW w:type="dxa" w:w="3408"/>
            <w:vAlign w:val="center"/>
          </w:tcPr>
          <w:p>
            <w:r/>
            <w:r>
              <w:rPr>
                <w:rFonts w:ascii="Aptos" w:hAnsi="Aptos"/>
                <w:b w:val="0"/>
                <w:sz w:val="17"/>
              </w:rPr>
              <w:t>Validate problem and target scope</w:t>
            </w:r>
          </w:p>
        </w:tc>
      </w:tr>
      <w:tr>
        <w:tc>
          <w:tcPr>
            <w:tcW w:type="dxa" w:w="3408"/>
            <w:vAlign w:val="center"/>
          </w:tcPr>
          <w:p>
            <w:r/>
            <w:r>
              <w:rPr>
                <w:rFonts w:ascii="Aptos" w:hAnsi="Aptos"/>
                <w:b w:val="0"/>
                <w:sz w:val="17"/>
              </w:rPr>
              <w:t>Content authority</w:t>
            </w:r>
          </w:p>
        </w:tc>
        <w:tc>
          <w:tcPr>
            <w:tcW w:type="dxa" w:w="3408"/>
            <w:vAlign w:val="center"/>
          </w:tcPr>
          <w:p>
            <w:r/>
            <w:r>
              <w:rPr>
                <w:rFonts w:ascii="Aptos" w:hAnsi="Aptos"/>
                <w:b w:val="0"/>
                <w:sz w:val="17"/>
              </w:rPr>
              <w:t>Define credible source ownership, validation and review responsibility.</w:t>
            </w:r>
          </w:p>
        </w:tc>
        <w:tc>
          <w:tcPr>
            <w:tcW w:type="dxa" w:w="3408"/>
            <w:vAlign w:val="center"/>
          </w:tcPr>
          <w:p>
            <w:r/>
            <w:r>
              <w:rPr>
                <w:rFonts w:ascii="Aptos" w:hAnsi="Aptos"/>
                <w:b w:val="0"/>
                <w:sz w:val="17"/>
              </w:rPr>
              <w:t>Confirm authority and review model</w:t>
            </w:r>
          </w:p>
        </w:tc>
      </w:tr>
      <w:tr>
        <w:tc>
          <w:tcPr>
            <w:tcW w:type="dxa" w:w="3408"/>
            <w:vAlign w:val="center"/>
          </w:tcPr>
          <w:p>
            <w:r/>
            <w:r>
              <w:rPr>
                <w:rFonts w:ascii="Aptos" w:hAnsi="Aptos"/>
                <w:b w:val="0"/>
                <w:sz w:val="17"/>
              </w:rPr>
              <w:t>Knowledge model</w:t>
            </w:r>
          </w:p>
        </w:tc>
        <w:tc>
          <w:tcPr>
            <w:tcW w:type="dxa" w:w="3408"/>
            <w:vAlign w:val="center"/>
          </w:tcPr>
          <w:p>
            <w:r/>
            <w:r>
              <w:rPr>
                <w:rFonts w:ascii="Aptos" w:hAnsi="Aptos"/>
                <w:b w:val="0"/>
                <w:sz w:val="17"/>
              </w:rPr>
              <w:t>Define species, varieties, synonyms and regional attributes with known limitations.</w:t>
            </w:r>
          </w:p>
        </w:tc>
        <w:tc>
          <w:tcPr>
            <w:tcW w:type="dxa" w:w="3408"/>
            <w:vAlign w:val="center"/>
          </w:tcPr>
          <w:p>
            <w:r/>
            <w:r>
              <w:rPr>
                <w:rFonts w:ascii="Aptos" w:hAnsi="Aptos"/>
                <w:b w:val="0"/>
                <w:sz w:val="17"/>
              </w:rPr>
              <w:t>Confirm representation model</w:t>
            </w:r>
          </w:p>
        </w:tc>
      </w:tr>
      <w:tr>
        <w:tc>
          <w:tcPr>
            <w:tcW w:type="dxa" w:w="3408"/>
            <w:vAlign w:val="center"/>
          </w:tcPr>
          <w:p>
            <w:r/>
            <w:r>
              <w:rPr>
                <w:rFonts w:ascii="Aptos" w:hAnsi="Aptos"/>
                <w:b w:val="0"/>
                <w:sz w:val="17"/>
              </w:rPr>
              <w:t>Regional scope</w:t>
            </w:r>
          </w:p>
        </w:tc>
        <w:tc>
          <w:tcPr>
            <w:tcW w:type="dxa" w:w="3408"/>
            <w:vAlign w:val="center"/>
          </w:tcPr>
          <w:p>
            <w:r/>
            <w:r>
              <w:rPr>
                <w:rFonts w:ascii="Aptos" w:hAnsi="Aptos"/>
                <w:b w:val="0"/>
                <w:sz w:val="17"/>
              </w:rPr>
              <w:t>Select material regional differences and avoid universal coverage assumptions.</w:t>
            </w:r>
          </w:p>
        </w:tc>
        <w:tc>
          <w:tcPr>
            <w:tcW w:type="dxa" w:w="3408"/>
            <w:vAlign w:val="center"/>
          </w:tcPr>
          <w:p>
            <w:r/>
            <w:r>
              <w:rPr>
                <w:rFonts w:ascii="Aptos" w:hAnsi="Aptos"/>
                <w:b w:val="0"/>
                <w:sz w:val="17"/>
              </w:rPr>
              <w:t>Confirm focused regional scope</w:t>
            </w:r>
          </w:p>
        </w:tc>
      </w:tr>
      <w:tr>
        <w:tc>
          <w:tcPr>
            <w:tcW w:type="dxa" w:w="3408"/>
            <w:vAlign w:val="center"/>
          </w:tcPr>
          <w:p>
            <w:r/>
            <w:r>
              <w:rPr>
                <w:rFonts w:ascii="Aptos" w:hAnsi="Aptos"/>
                <w:b w:val="0"/>
                <w:sz w:val="17"/>
              </w:rPr>
              <w:t>Localisation</w:t>
            </w:r>
          </w:p>
        </w:tc>
        <w:tc>
          <w:tcPr>
            <w:tcW w:type="dxa" w:w="3408"/>
            <w:vAlign w:val="center"/>
          </w:tcPr>
          <w:p>
            <w:r/>
            <w:r>
              <w:rPr>
                <w:rFonts w:ascii="Aptos" w:hAnsi="Aptos"/>
                <w:b w:val="0"/>
                <w:sz w:val="17"/>
              </w:rPr>
              <w:t>Define language, terminology, measurement and adaptation expectations.</w:t>
            </w:r>
          </w:p>
        </w:tc>
        <w:tc>
          <w:tcPr>
            <w:tcW w:type="dxa" w:w="3408"/>
            <w:vAlign w:val="center"/>
          </w:tcPr>
          <w:p>
            <w:r/>
            <w:r>
              <w:rPr>
                <w:rFonts w:ascii="Aptos" w:hAnsi="Aptos"/>
                <w:b w:val="0"/>
                <w:sz w:val="17"/>
              </w:rPr>
              <w:t>Confirm selected-market model</w:t>
            </w:r>
          </w:p>
        </w:tc>
      </w:tr>
      <w:tr>
        <w:tc>
          <w:tcPr>
            <w:tcW w:type="dxa" w:w="3408"/>
            <w:vAlign w:val="center"/>
          </w:tcPr>
          <w:p>
            <w:r/>
            <w:r>
              <w:rPr>
                <w:rFonts w:ascii="Aptos" w:hAnsi="Aptos"/>
                <w:b w:val="0"/>
                <w:sz w:val="17"/>
              </w:rPr>
              <w:t>Regulatory assessment</w:t>
            </w:r>
          </w:p>
        </w:tc>
        <w:tc>
          <w:tcPr>
            <w:tcW w:type="dxa" w:w="3408"/>
            <w:vAlign w:val="center"/>
          </w:tcPr>
          <w:p>
            <w:r/>
            <w:r>
              <w:rPr>
                <w:rFonts w:ascii="Aptos" w:hAnsi="Aptos"/>
                <w:b w:val="0"/>
                <w:sz w:val="17"/>
              </w:rPr>
              <w:t>Identify jurisdictional constraints before content is treated as globally reusable.</w:t>
            </w:r>
          </w:p>
        </w:tc>
        <w:tc>
          <w:tcPr>
            <w:tcW w:type="dxa" w:w="3408"/>
            <w:vAlign w:val="center"/>
          </w:tcPr>
          <w:p>
            <w:r/>
            <w:r>
              <w:rPr>
                <w:rFonts w:ascii="Aptos" w:hAnsi="Aptos"/>
                <w:b w:val="0"/>
                <w:sz w:val="17"/>
              </w:rPr>
              <w:t>Confirm regulatory boundary</w:t>
            </w:r>
          </w:p>
        </w:tc>
      </w:tr>
      <w:tr>
        <w:tc>
          <w:tcPr>
            <w:tcW w:type="dxa" w:w="3408"/>
            <w:vAlign w:val="center"/>
          </w:tcPr>
          <w:p>
            <w:r/>
            <w:r>
              <w:rPr>
                <w:rFonts w:ascii="Aptos" w:hAnsi="Aptos"/>
                <w:b w:val="0"/>
                <w:sz w:val="17"/>
              </w:rPr>
              <w:t>Operating model</w:t>
            </w:r>
          </w:p>
        </w:tc>
        <w:tc>
          <w:tcPr>
            <w:tcW w:type="dxa" w:w="3408"/>
            <w:vAlign w:val="center"/>
          </w:tcPr>
          <w:p>
            <w:r/>
            <w:r>
              <w:rPr>
                <w:rFonts w:ascii="Aptos" w:hAnsi="Aptos"/>
                <w:b w:val="0"/>
                <w:sz w:val="17"/>
              </w:rPr>
              <w:t>Define how regional content is created, approved, maintained, monitored and retired.</w:t>
            </w:r>
          </w:p>
        </w:tc>
        <w:tc>
          <w:tcPr>
            <w:tcW w:type="dxa" w:w="3408"/>
            <w:vAlign w:val="center"/>
          </w:tcPr>
          <w:p>
            <w:r/>
            <w:r>
              <w:rPr>
                <w:rFonts w:ascii="Aptos" w:hAnsi="Aptos"/>
                <w:b w:val="0"/>
                <w:sz w:val="17"/>
              </w:rPr>
              <w:t>Confirm lifecycle ownership</w:t>
            </w:r>
          </w:p>
        </w:tc>
      </w:tr>
      <w:tr>
        <w:tc>
          <w:tcPr>
            <w:tcW w:type="dxa" w:w="3408"/>
            <w:vAlign w:val="center"/>
          </w:tcPr>
          <w:p>
            <w:r/>
            <w:r>
              <w:rPr>
                <w:rFonts w:ascii="Aptos" w:hAnsi="Aptos"/>
                <w:b w:val="0"/>
                <w:sz w:val="17"/>
              </w:rPr>
              <w:t>Acceptance logic</w:t>
            </w:r>
          </w:p>
        </w:tc>
        <w:tc>
          <w:tcPr>
            <w:tcW w:type="dxa" w:w="3408"/>
            <w:vAlign w:val="center"/>
          </w:tcPr>
          <w:p>
            <w:r/>
            <w:r>
              <w:rPr>
                <w:rFonts w:ascii="Aptos" w:hAnsi="Aptos"/>
                <w:b w:val="0"/>
                <w:sz w:val="17"/>
              </w:rPr>
              <w:t>Write testable criteria only after the preceding discovery gates resolve.</w:t>
            </w:r>
          </w:p>
        </w:tc>
        <w:tc>
          <w:tcPr>
            <w:tcW w:type="dxa" w:w="3408"/>
            <w:vAlign w:val="center"/>
          </w:tcPr>
          <w:p>
            <w:r/>
            <w:r>
              <w:rPr>
                <w:rFonts w:ascii="Aptos" w:hAnsi="Aptos"/>
                <w:b w:val="0"/>
                <w:sz w:val="17"/>
              </w:rPr>
              <w:t>All prerequisite gates resolved</w:t>
            </w:r>
          </w:p>
        </w:tc>
      </w:tr>
      <w:tr>
        <w:tc>
          <w:tcPr>
            <w:tcW w:type="dxa" w:w="3408"/>
            <w:vAlign w:val="center"/>
          </w:tcPr>
          <w:p>
            <w:r/>
            <w:r>
              <w:rPr>
                <w:rFonts w:ascii="Aptos" w:hAnsi="Aptos"/>
                <w:b w:val="0"/>
                <w:sz w:val="17"/>
              </w:rPr>
              <w:t>Value and priority</w:t>
            </w:r>
          </w:p>
        </w:tc>
        <w:tc>
          <w:tcPr>
            <w:tcW w:type="dxa" w:w="3408"/>
            <w:vAlign w:val="center"/>
          </w:tcPr>
          <w:p>
            <w:r/>
            <w:r>
              <w:rPr>
                <w:rFonts w:ascii="Aptos" w:hAnsi="Aptos"/>
                <w:b w:val="0"/>
                <w:sz w:val="17"/>
              </w:rPr>
              <w:t>GreenSphere decides whether F04 should progress and which regions or plant domains receive priority.</w:t>
            </w:r>
          </w:p>
        </w:tc>
        <w:tc>
          <w:tcPr>
            <w:tcW w:type="dxa" w:w="3408"/>
            <w:vAlign w:val="center"/>
          </w:tcPr>
          <w:p>
            <w:r/>
            <w:r>
              <w:rPr>
                <w:rFonts w:ascii="Aptos" w:hAnsi="Aptos"/>
                <w:b w:val="0"/>
                <w:sz w:val="17"/>
              </w:rPr>
              <w:t>Evidence-based decision</w:t>
            </w:r>
          </w:p>
        </w:tc>
      </w:tr>
    </w:tbl>
    <w:p>
      <w:r>
        <w:rPr>
          <w:rFonts w:ascii="Aptos" w:hAnsi="Aptos"/>
          <w:b/>
          <w:sz w:val="19"/>
        </w:rPr>
        <w:t>6. NFR and Data Translation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Theme / data area</w:t>
            </w:r>
          </w:p>
        </w:tc>
        <w:tc>
          <w:tcPr>
            <w:tcW w:type="dxa" w:w="5112"/>
            <w:vAlign w:val="center"/>
            <w:shd w:fill="D9EAF7"/>
          </w:tcPr>
          <w:p>
            <w:r/>
            <w:r>
              <w:rPr>
                <w:rFonts w:ascii="Aptos" w:hAnsi="Aptos"/>
                <w:b/>
                <w:sz w:val="17"/>
              </w:rPr>
              <w:t>Current translation state</w:t>
            </w:r>
          </w:p>
        </w:tc>
      </w:tr>
      <w:tr>
        <w:tc>
          <w:tcPr>
            <w:tcW w:type="dxa" w:w="5112"/>
            <w:vAlign w:val="center"/>
          </w:tcPr>
          <w:p>
            <w:r/>
            <w:r>
              <w:rPr>
                <w:rFonts w:ascii="Aptos" w:hAnsi="Aptos"/>
                <w:b w:val="0"/>
                <w:sz w:val="17"/>
              </w:rPr>
              <w:t>Accuracy and provenance</w:t>
            </w:r>
          </w:p>
        </w:tc>
        <w:tc>
          <w:tcPr>
            <w:tcW w:type="dxa" w:w="5112"/>
            <w:vAlign w:val="center"/>
          </w:tcPr>
          <w:p>
            <w:r/>
            <w:r>
              <w:rPr>
                <w:rFonts w:ascii="Aptos" w:hAnsi="Aptos"/>
                <w:b w:val="0"/>
                <w:sz w:val="17"/>
              </w:rPr>
              <w:t>Regional plant information needs traceable sources and review decisions.</w:t>
            </w:r>
          </w:p>
        </w:tc>
      </w:tr>
      <w:tr>
        <w:tc>
          <w:tcPr>
            <w:tcW w:type="dxa" w:w="5112"/>
            <w:vAlign w:val="center"/>
          </w:tcPr>
          <w:p>
            <w:r/>
            <w:r>
              <w:rPr>
                <w:rFonts w:ascii="Aptos" w:hAnsi="Aptos"/>
                <w:b w:val="0"/>
                <w:sz w:val="17"/>
              </w:rPr>
              <w:t>Freshness</w:t>
            </w:r>
          </w:p>
        </w:tc>
        <w:tc>
          <w:tcPr>
            <w:tcW w:type="dxa" w:w="5112"/>
            <w:vAlign w:val="center"/>
          </w:tcPr>
          <w:p>
            <w:r/>
            <w:r>
              <w:rPr>
                <w:rFonts w:ascii="Aptos" w:hAnsi="Aptos"/>
                <w:b w:val="0"/>
                <w:sz w:val="17"/>
              </w:rPr>
              <w:t>Plant knowledge, regional context and growing-season information may change over time.</w:t>
            </w:r>
          </w:p>
        </w:tc>
      </w:tr>
      <w:tr>
        <w:tc>
          <w:tcPr>
            <w:tcW w:type="dxa" w:w="5112"/>
            <w:vAlign w:val="center"/>
          </w:tcPr>
          <w:p>
            <w:r/>
            <w:r>
              <w:rPr>
                <w:rFonts w:ascii="Aptos" w:hAnsi="Aptos"/>
                <w:b w:val="0"/>
                <w:sz w:val="17"/>
              </w:rPr>
              <w:t>Consistency</w:t>
            </w:r>
          </w:p>
        </w:tc>
        <w:tc>
          <w:tcPr>
            <w:tcW w:type="dxa" w:w="5112"/>
            <w:vAlign w:val="center"/>
          </w:tcPr>
          <w:p>
            <w:r/>
            <w:r>
              <w:rPr>
                <w:rFonts w:ascii="Aptos" w:hAnsi="Aptos"/>
                <w:b w:val="0"/>
                <w:sz w:val="17"/>
              </w:rPr>
              <w:t>Material conflicts across regions need controlled explanation and resolution.</w:t>
            </w:r>
          </w:p>
        </w:tc>
      </w:tr>
      <w:tr>
        <w:tc>
          <w:tcPr>
            <w:tcW w:type="dxa" w:w="5112"/>
            <w:vAlign w:val="center"/>
          </w:tcPr>
          <w:p>
            <w:r/>
            <w:r>
              <w:rPr>
                <w:rFonts w:ascii="Aptos" w:hAnsi="Aptos"/>
                <w:b w:val="0"/>
                <w:sz w:val="17"/>
              </w:rPr>
              <w:t>Localisation quality</w:t>
            </w:r>
          </w:p>
        </w:tc>
        <w:tc>
          <w:tcPr>
            <w:tcW w:type="dxa" w:w="5112"/>
            <w:vAlign w:val="center"/>
          </w:tcPr>
          <w:p>
            <w:r/>
            <w:r>
              <w:rPr>
                <w:rFonts w:ascii="Aptos" w:hAnsi="Aptos"/>
                <w:b w:val="0"/>
                <w:sz w:val="17"/>
              </w:rPr>
              <w:t>Language, terminology, measurements and regional presentation need coherent controls.</w:t>
            </w:r>
          </w:p>
        </w:tc>
      </w:tr>
      <w:tr>
        <w:tc>
          <w:tcPr>
            <w:tcW w:type="dxa" w:w="5112"/>
            <w:vAlign w:val="center"/>
          </w:tcPr>
          <w:p>
            <w:r/>
            <w:r>
              <w:rPr>
                <w:rFonts w:ascii="Aptos" w:hAnsi="Aptos"/>
                <w:b w:val="0"/>
                <w:sz w:val="17"/>
              </w:rPr>
              <w:t>Explainability</w:t>
            </w:r>
          </w:p>
        </w:tc>
        <w:tc>
          <w:tcPr>
            <w:tcW w:type="dxa" w:w="5112"/>
            <w:vAlign w:val="center"/>
          </w:tcPr>
          <w:p>
            <w:r/>
            <w:r>
              <w:rPr>
                <w:rFonts w:ascii="Aptos" w:hAnsi="Aptos"/>
                <w:b w:val="0"/>
                <w:sz w:val="17"/>
              </w:rPr>
              <w:t>Users need to understand when information is region-specific and why it differs.</w:t>
            </w:r>
          </w:p>
        </w:tc>
      </w:tr>
      <w:tr>
        <w:tc>
          <w:tcPr>
            <w:tcW w:type="dxa" w:w="5112"/>
            <w:vAlign w:val="center"/>
          </w:tcPr>
          <w:p>
            <w:r/>
            <w:r>
              <w:rPr>
                <w:rFonts w:ascii="Aptos" w:hAnsi="Aptos"/>
                <w:b w:val="0"/>
                <w:sz w:val="17"/>
              </w:rPr>
              <w:t>Availability</w:t>
            </w:r>
          </w:p>
        </w:tc>
        <w:tc>
          <w:tcPr>
            <w:tcW w:type="dxa" w:w="5112"/>
            <w:vAlign w:val="center"/>
          </w:tcPr>
          <w:p>
            <w:r/>
            <w:r>
              <w:rPr>
                <w:rFonts w:ascii="Aptos" w:hAnsi="Aptos"/>
                <w:b w:val="0"/>
                <w:sz w:val="17"/>
              </w:rPr>
              <w:t>Knowledge and regional content need defined behaviour when dependencies fail.</w:t>
            </w:r>
          </w:p>
        </w:tc>
      </w:tr>
      <w:tr>
        <w:tc>
          <w:tcPr>
            <w:tcW w:type="dxa" w:w="5112"/>
            <w:vAlign w:val="center"/>
          </w:tcPr>
          <w:p>
            <w:r/>
            <w:r>
              <w:rPr>
                <w:rFonts w:ascii="Aptos" w:hAnsi="Aptos"/>
                <w:b w:val="0"/>
                <w:sz w:val="17"/>
              </w:rPr>
              <w:t>Observability</w:t>
            </w:r>
          </w:p>
        </w:tc>
        <w:tc>
          <w:tcPr>
            <w:tcW w:type="dxa" w:w="5112"/>
            <w:vAlign w:val="center"/>
          </w:tcPr>
          <w:p>
            <w:r/>
            <w:r>
              <w:rPr>
                <w:rFonts w:ascii="Aptos" w:hAnsi="Aptos"/>
                <w:b w:val="0"/>
                <w:sz w:val="17"/>
              </w:rPr>
              <w:t>Usage, content quality signals and regional coverage should be measurable after real delivery.</w:t>
            </w:r>
          </w:p>
        </w:tc>
      </w:tr>
      <w:tr>
        <w:tc>
          <w:tcPr>
            <w:tcW w:type="dxa" w:w="5112"/>
            <w:vAlign w:val="center"/>
          </w:tcPr>
          <w:p>
            <w:r/>
            <w:r>
              <w:rPr>
                <w:rFonts w:ascii="Aptos" w:hAnsi="Aptos"/>
                <w:b w:val="0"/>
                <w:sz w:val="17"/>
              </w:rPr>
              <w:t>Knowledge source</w:t>
            </w:r>
          </w:p>
        </w:tc>
        <w:tc>
          <w:tcPr>
            <w:tcW w:type="dxa" w:w="5112"/>
            <w:vAlign w:val="center"/>
          </w:tcPr>
          <w:p>
            <w:r/>
            <w:r>
              <w:rPr>
                <w:rFonts w:ascii="Aptos" w:hAnsi="Aptos"/>
                <w:b w:val="0"/>
                <w:sz w:val="17"/>
              </w:rPr>
              <w:t>Authoritative sources, datasets and editorial inputs remain open.</w:t>
            </w:r>
          </w:p>
        </w:tc>
      </w:tr>
      <w:tr>
        <w:tc>
          <w:tcPr>
            <w:tcW w:type="dxa" w:w="5112"/>
            <w:vAlign w:val="center"/>
          </w:tcPr>
          <w:p>
            <w:r/>
            <w:r>
              <w:rPr>
                <w:rFonts w:ascii="Aptos" w:hAnsi="Aptos"/>
                <w:b w:val="0"/>
                <w:sz w:val="17"/>
              </w:rPr>
              <w:t>Identity and taxonomy</w:t>
            </w:r>
          </w:p>
        </w:tc>
        <w:tc>
          <w:tcPr>
            <w:tcW w:type="dxa" w:w="5112"/>
            <w:vAlign w:val="center"/>
          </w:tcPr>
          <w:p>
            <w:r/>
            <w:r>
              <w:rPr>
                <w:rFonts w:ascii="Aptos" w:hAnsi="Aptos"/>
                <w:b w:val="0"/>
                <w:sz w:val="17"/>
              </w:rPr>
              <w:t>Species, varieties, synonyms and regional names remain open.</w:t>
            </w:r>
          </w:p>
        </w:tc>
      </w:tr>
      <w:tr>
        <w:tc>
          <w:tcPr>
            <w:tcW w:type="dxa" w:w="5112"/>
            <w:vAlign w:val="center"/>
          </w:tcPr>
          <w:p>
            <w:r/>
            <w:r>
              <w:rPr>
                <w:rFonts w:ascii="Aptos" w:hAnsi="Aptos"/>
                <w:b w:val="0"/>
                <w:sz w:val="17"/>
              </w:rPr>
              <w:t>Regionalisation</w:t>
            </w:r>
          </w:p>
        </w:tc>
        <w:tc>
          <w:tcPr>
            <w:tcW w:type="dxa" w:w="5112"/>
            <w:vAlign w:val="center"/>
          </w:tcPr>
          <w:p>
            <w:r/>
            <w:r>
              <w:rPr>
                <w:rFonts w:ascii="Aptos" w:hAnsi="Aptos"/>
                <w:b w:val="0"/>
                <w:sz w:val="17"/>
              </w:rPr>
              <w:t>Required regional attributes and their presentation remain open.</w:t>
            </w:r>
          </w:p>
        </w:tc>
      </w:tr>
      <w:tr>
        <w:tc>
          <w:tcPr>
            <w:tcW w:type="dxa" w:w="5112"/>
            <w:vAlign w:val="center"/>
          </w:tcPr>
          <w:p>
            <w:r/>
            <w:r>
              <w:rPr>
                <w:rFonts w:ascii="Aptos" w:hAnsi="Aptos"/>
                <w:b w:val="0"/>
                <w:sz w:val="17"/>
              </w:rPr>
              <w:t>Content lifecycle</w:t>
            </w:r>
          </w:p>
        </w:tc>
        <w:tc>
          <w:tcPr>
            <w:tcW w:type="dxa" w:w="5112"/>
            <w:vAlign w:val="center"/>
          </w:tcPr>
          <w:p>
            <w:r/>
            <w:r>
              <w:rPr>
                <w:rFonts w:ascii="Aptos" w:hAnsi="Aptos"/>
                <w:b w:val="0"/>
                <w:sz w:val="17"/>
              </w:rPr>
              <w:t>Creation, review, versioning, retirement and monitoring remain open.</w:t>
            </w:r>
          </w:p>
        </w:tc>
      </w:tr>
      <w:tr>
        <w:tc>
          <w:tcPr>
            <w:tcW w:type="dxa" w:w="5112"/>
            <w:vAlign w:val="center"/>
          </w:tcPr>
          <w:p>
            <w:r/>
            <w:r>
              <w:rPr>
                <w:rFonts w:ascii="Aptos" w:hAnsi="Aptos"/>
                <w:b w:val="0"/>
                <w:sz w:val="17"/>
              </w:rPr>
              <w:t>Regulatory review</w:t>
            </w:r>
          </w:p>
        </w:tc>
        <w:tc>
          <w:tcPr>
            <w:tcW w:type="dxa" w:w="5112"/>
            <w:vAlign w:val="center"/>
          </w:tcPr>
          <w:p>
            <w:r/>
            <w:r>
              <w:rPr>
                <w:rFonts w:ascii="Aptos" w:hAnsi="Aptos"/>
                <w:b w:val="0"/>
                <w:sz w:val="17"/>
              </w:rPr>
              <w:t>Market-specific restrictions and claims remain open.</w:t>
            </w:r>
          </w:p>
        </w:tc>
      </w:tr>
    </w:tbl>
    <w:p>
      <w:r>
        <w:rPr>
          <w:rFonts w:ascii="Aptos" w:hAnsi="Aptos"/>
          <w:b/>
          <w:sz w:val="19"/>
        </w:rPr>
        <w:t>7. Governance and Stakeholder Translation</w:t>
      </w:r>
    </w:p>
    <w:p>
      <w:r>
        <w:rPr>
          <w:rFonts w:ascii="Aptos" w:hAnsi="Aptos"/>
          <w:b w:val="0"/>
          <w:sz w:val="19"/>
        </w:rPr>
        <w:t>I am keeping the F04 governance questions distinct from the F01 content-authority finding, the F02 weather governance question, and the F03 plant-health safety model. F04 adds regional content validity, localisation, regulatory and operating-model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7"/>
              </w:rPr>
              <w:t>Role / expertise</w:t>
            </w:r>
          </w:p>
        </w:tc>
        <w:tc>
          <w:tcPr>
            <w:tcW w:type="dxa" w:w="3408"/>
            <w:vAlign w:val="center"/>
            <w:shd w:fill="D9EAF7"/>
          </w:tcPr>
          <w:p>
            <w:r/>
            <w:r>
              <w:rPr>
                <w:rFonts w:ascii="Aptos" w:hAnsi="Aptos"/>
                <w:b/>
                <w:sz w:val="17"/>
              </w:rPr>
              <w:t>F04 relevance</w:t>
            </w:r>
          </w:p>
        </w:tc>
        <w:tc>
          <w:tcPr>
            <w:tcW w:type="dxa" w:w="3408"/>
            <w:vAlign w:val="center"/>
            <w:shd w:fill="D9EAF7"/>
          </w:tcPr>
          <w:p>
            <w:r/>
            <w:r>
              <w:rPr>
                <w:rFonts w:ascii="Aptos" w:hAnsi="Aptos"/>
                <w:b/>
                <w:sz w:val="17"/>
              </w:rPr>
              <w:t>Current position</w:t>
            </w:r>
          </w:p>
        </w:tc>
      </w:tr>
      <w:tr>
        <w:tc>
          <w:tcPr>
            <w:tcW w:type="dxa" w:w="3408"/>
            <w:vAlign w:val="center"/>
          </w:tcPr>
          <w:p>
            <w:r/>
            <w:r>
              <w:rPr>
                <w:rFonts w:ascii="Aptos" w:hAnsi="Aptos"/>
                <w:b w:val="0"/>
                <w:sz w:val="17"/>
              </w:rPr>
              <w:t>Gardener</w:t>
            </w:r>
          </w:p>
        </w:tc>
        <w:tc>
          <w:tcPr>
            <w:tcW w:type="dxa" w:w="3408"/>
            <w:vAlign w:val="center"/>
          </w:tcPr>
          <w:p>
            <w:r/>
            <w:r>
              <w:rPr>
                <w:rFonts w:ascii="Aptos" w:hAnsi="Aptos"/>
                <w:b w:val="0"/>
                <w:sz w:val="17"/>
              </w:rPr>
              <w:t>Consumes regional plant knowledge and indicates relevance.</w:t>
            </w:r>
          </w:p>
        </w:tc>
        <w:tc>
          <w:tcPr>
            <w:tcW w:type="dxa" w:w="3408"/>
            <w:vAlign w:val="center"/>
          </w:tcPr>
          <w:p>
            <w:r/>
            <w:r>
              <w:rPr>
                <w:rFonts w:ascii="Aptos" w:hAnsi="Aptos"/>
                <w:b w:val="0"/>
                <w:sz w:val="17"/>
              </w:rPr>
              <w:t>Primary persona</w:t>
            </w:r>
          </w:p>
        </w:tc>
      </w:tr>
      <w:tr>
        <w:tc>
          <w:tcPr>
            <w:tcW w:type="dxa" w:w="3408"/>
            <w:vAlign w:val="center"/>
          </w:tcPr>
          <w:p>
            <w:r/>
            <w:r>
              <w:rPr>
                <w:rFonts w:ascii="Aptos" w:hAnsi="Aptos"/>
                <w:b w:val="0"/>
                <w:sz w:val="17"/>
              </w:rPr>
              <w:t>Product Owner / GreenSphere</w:t>
            </w:r>
          </w:p>
        </w:tc>
        <w:tc>
          <w:tcPr>
            <w:tcW w:type="dxa" w:w="3408"/>
            <w:vAlign w:val="center"/>
          </w:tcPr>
          <w:p>
            <w:r/>
            <w:r>
              <w:rPr>
                <w:rFonts w:ascii="Aptos" w:hAnsi="Aptos"/>
                <w:b w:val="0"/>
                <w:sz w:val="17"/>
              </w:rPr>
              <w:t>Confirms value, scope, priority and acceptance.</w:t>
            </w:r>
          </w:p>
        </w:tc>
        <w:tc>
          <w:tcPr>
            <w:tcW w:type="dxa" w:w="3408"/>
            <w:vAlign w:val="center"/>
          </w:tcPr>
          <w:p>
            <w:r/>
            <w:r>
              <w:rPr>
                <w:rFonts w:ascii="Aptos" w:hAnsi="Aptos"/>
                <w:b w:val="0"/>
                <w:sz w:val="17"/>
              </w:rPr>
              <w:t>Governance role</w:t>
            </w:r>
          </w:p>
        </w:tc>
      </w:tr>
      <w:tr>
        <w:tc>
          <w:tcPr>
            <w:tcW w:type="dxa" w:w="3408"/>
            <w:vAlign w:val="center"/>
          </w:tcPr>
          <w:p>
            <w:r/>
            <w:r>
              <w:rPr>
                <w:rFonts w:ascii="Aptos" w:hAnsi="Aptos"/>
                <w:b w:val="0"/>
                <w:sz w:val="17"/>
              </w:rPr>
              <w:t>Plant Science / Horticulture SME</w:t>
            </w:r>
          </w:p>
        </w:tc>
        <w:tc>
          <w:tcPr>
            <w:tcW w:type="dxa" w:w="3408"/>
            <w:vAlign w:val="center"/>
          </w:tcPr>
          <w:p>
            <w:r/>
            <w:r>
              <w:rPr>
                <w:rFonts w:ascii="Aptos" w:hAnsi="Aptos"/>
                <w:b w:val="0"/>
                <w:sz w:val="17"/>
              </w:rPr>
              <w:t>May validate plant knowledge and regional growing implications.</w:t>
            </w:r>
          </w:p>
        </w:tc>
        <w:tc>
          <w:tcPr>
            <w:tcW w:type="dxa" w:w="3408"/>
            <w:vAlign w:val="center"/>
          </w:tcPr>
          <w:p>
            <w:r/>
            <w:r>
              <w:rPr>
                <w:rFonts w:ascii="Aptos" w:hAnsi="Aptos"/>
                <w:b w:val="0"/>
                <w:sz w:val="17"/>
              </w:rPr>
              <w:t>Future governance dependency, not MVP entry</w:t>
            </w:r>
          </w:p>
        </w:tc>
      </w:tr>
      <w:tr>
        <w:tc>
          <w:tcPr>
            <w:tcW w:type="dxa" w:w="3408"/>
            <w:vAlign w:val="center"/>
          </w:tcPr>
          <w:p>
            <w:r/>
            <w:r>
              <w:rPr>
                <w:rFonts w:ascii="Aptos" w:hAnsi="Aptos"/>
                <w:b w:val="0"/>
                <w:sz w:val="17"/>
              </w:rPr>
              <w:t>Localisation / regional content expertise</w:t>
            </w:r>
          </w:p>
        </w:tc>
        <w:tc>
          <w:tcPr>
            <w:tcW w:type="dxa" w:w="3408"/>
            <w:vAlign w:val="center"/>
          </w:tcPr>
          <w:p>
            <w:r/>
            <w:r>
              <w:rPr>
                <w:rFonts w:ascii="Aptos" w:hAnsi="Aptos"/>
                <w:b w:val="0"/>
                <w:sz w:val="17"/>
              </w:rPr>
              <w:t>May be required for market-specific language, terminology and content adaptation.</w:t>
            </w:r>
          </w:p>
        </w:tc>
        <w:tc>
          <w:tcPr>
            <w:tcW w:type="dxa" w:w="3408"/>
            <w:vAlign w:val="center"/>
          </w:tcPr>
          <w:p>
            <w:r/>
            <w:r>
              <w:rPr>
                <w:rFonts w:ascii="Aptos" w:hAnsi="Aptos"/>
                <w:b w:val="0"/>
                <w:sz w:val="17"/>
              </w:rPr>
              <w:t>Open governance question, not added</w:t>
            </w:r>
          </w:p>
        </w:tc>
      </w:tr>
      <w:tr>
        <w:tc>
          <w:tcPr>
            <w:tcW w:type="dxa" w:w="3408"/>
            <w:vAlign w:val="center"/>
          </w:tcPr>
          <w:p>
            <w:r/>
            <w:r>
              <w:rPr>
                <w:rFonts w:ascii="Aptos" w:hAnsi="Aptos"/>
                <w:b w:val="0"/>
                <w:sz w:val="17"/>
              </w:rPr>
              <w:t>Regulatory / market expertise</w:t>
            </w:r>
          </w:p>
        </w:tc>
        <w:tc>
          <w:tcPr>
            <w:tcW w:type="dxa" w:w="3408"/>
            <w:vAlign w:val="center"/>
          </w:tcPr>
          <w:p>
            <w:r/>
            <w:r>
              <w:rPr>
                <w:rFonts w:ascii="Aptos" w:hAnsi="Aptos"/>
                <w:b w:val="0"/>
                <w:sz w:val="17"/>
              </w:rPr>
              <w:t>May be required where jurisdiction-specific content or claims create constraints.</w:t>
            </w:r>
          </w:p>
        </w:tc>
        <w:tc>
          <w:tcPr>
            <w:tcW w:type="dxa" w:w="3408"/>
            <w:vAlign w:val="center"/>
          </w:tcPr>
          <w:p>
            <w:r/>
            <w:r>
              <w:rPr>
                <w:rFonts w:ascii="Aptos" w:hAnsi="Aptos"/>
                <w:b w:val="0"/>
                <w:sz w:val="17"/>
              </w:rPr>
              <w:t>Open governance question, not added</w:t>
            </w:r>
          </w:p>
        </w:tc>
      </w:tr>
      <w:tr>
        <w:tc>
          <w:tcPr>
            <w:tcW w:type="dxa" w:w="3408"/>
            <w:vAlign w:val="center"/>
          </w:tcPr>
          <w:p>
            <w:r/>
            <w:r>
              <w:rPr>
                <w:rFonts w:ascii="Aptos" w:hAnsi="Aptos"/>
                <w:b w:val="0"/>
                <w:sz w:val="17"/>
              </w:rPr>
              <w:t>Technical / Data / Platform</w:t>
            </w:r>
          </w:p>
        </w:tc>
        <w:tc>
          <w:tcPr>
            <w:tcW w:type="dxa" w:w="3408"/>
            <w:vAlign w:val="center"/>
          </w:tcPr>
          <w:p>
            <w:r/>
            <w:r>
              <w:rPr>
                <w:rFonts w:ascii="Aptos" w:hAnsi="Aptos"/>
                <w:b w:val="0"/>
                <w:sz w:val="17"/>
              </w:rPr>
              <w:t>Supports knowledge model, source integration, quality, search and operational feasibility.</w:t>
            </w:r>
          </w:p>
        </w:tc>
        <w:tc>
          <w:tcPr>
            <w:tcW w:type="dxa" w:w="3408"/>
            <w:vAlign w:val="center"/>
          </w:tcPr>
          <w:p>
            <w:r/>
            <w:r>
              <w:rPr>
                <w:rFonts w:ascii="Aptos" w:hAnsi="Aptos"/>
                <w:b w:val="0"/>
                <w:sz w:val="17"/>
              </w:rPr>
              <w:t>Delivery dependency, ownership TBD</w:t>
            </w:r>
          </w:p>
        </w:tc>
      </w:tr>
    </w:tbl>
    <w:p>
      <w:r>
        <w:rPr>
          <w:rFonts w:ascii="Aptos" w:hAnsi="Aptos"/>
          <w:b/>
          <w:sz w:val="19"/>
        </w:rPr>
        <w:t>8. Definition of Ready Position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DoR check</w:t>
            </w:r>
          </w:p>
        </w:tc>
        <w:tc>
          <w:tcPr>
            <w:tcW w:type="dxa" w:w="5112"/>
            <w:vAlign w:val="center"/>
            <w:shd w:fill="D9EAF7"/>
          </w:tcPr>
          <w:p>
            <w:r/>
            <w:r>
              <w:rPr>
                <w:rFonts w:ascii="Aptos" w:hAnsi="Aptos"/>
                <w:b/>
                <w:sz w:val="17"/>
              </w:rPr>
              <w:t>Current position</w:t>
            </w:r>
          </w:p>
        </w:tc>
      </w:tr>
      <w:tr>
        <w:tc>
          <w:tcPr>
            <w:tcW w:type="dxa" w:w="5112"/>
            <w:vAlign w:val="center"/>
          </w:tcPr>
          <w:p>
            <w:r/>
            <w:r>
              <w:rPr>
                <w:rFonts w:ascii="Aptos" w:hAnsi="Aptos"/>
                <w:b w:val="0"/>
                <w:sz w:val="17"/>
              </w:rPr>
              <w:t>Problem and user outcome</w:t>
            </w:r>
          </w:p>
        </w:tc>
        <w:tc>
          <w:tcPr>
            <w:tcW w:type="dxa" w:w="5112"/>
            <w:vAlign w:val="center"/>
          </w:tcPr>
          <w:p>
            <w:r/>
            <w:r>
              <w:rPr>
                <w:rFonts w:ascii="Aptos" w:hAnsi="Aptos"/>
                <w:b w:val="0"/>
                <w:sz w:val="17"/>
              </w:rPr>
              <w:t>Open</w:t>
            </w:r>
          </w:p>
        </w:tc>
      </w:tr>
      <w:tr>
        <w:tc>
          <w:tcPr>
            <w:tcW w:type="dxa" w:w="5112"/>
            <w:vAlign w:val="center"/>
          </w:tcPr>
          <w:p>
            <w:r/>
            <w:r>
              <w:rPr>
                <w:rFonts w:ascii="Aptos" w:hAnsi="Aptos"/>
                <w:b w:val="0"/>
                <w:sz w:val="17"/>
              </w:rPr>
              <w:t>Scope boundaries</w:t>
            </w:r>
          </w:p>
        </w:tc>
        <w:tc>
          <w:tcPr>
            <w:tcW w:type="dxa" w:w="5112"/>
            <w:vAlign w:val="center"/>
          </w:tcPr>
          <w:p>
            <w:r/>
            <w:r>
              <w:rPr>
                <w:rFonts w:ascii="Aptos" w:hAnsi="Aptos"/>
                <w:b w:val="0"/>
                <w:sz w:val="17"/>
              </w:rPr>
              <w:t>Stable for draft translation</w:t>
            </w:r>
          </w:p>
        </w:tc>
      </w:tr>
      <w:tr>
        <w:tc>
          <w:tcPr>
            <w:tcW w:type="dxa" w:w="5112"/>
            <w:vAlign w:val="center"/>
          </w:tcPr>
          <w:p>
            <w:r/>
            <w:r>
              <w:rPr>
                <w:rFonts w:ascii="Aptos" w:hAnsi="Aptos"/>
                <w:b w:val="0"/>
                <w:sz w:val="17"/>
              </w:rPr>
              <w:t>Future requirement wording</w:t>
            </w:r>
          </w:p>
        </w:tc>
        <w:tc>
          <w:tcPr>
            <w:tcW w:type="dxa" w:w="5112"/>
            <w:vAlign w:val="center"/>
          </w:tcPr>
          <w:p>
            <w:r/>
            <w:r>
              <w:rPr>
                <w:rFonts w:ascii="Aptos" w:hAnsi="Aptos"/>
                <w:b w:val="0"/>
                <w:sz w:val="17"/>
              </w:rPr>
              <w:t>Candidate, no ID</w:t>
            </w:r>
          </w:p>
        </w:tc>
      </w:tr>
      <w:tr>
        <w:tc>
          <w:tcPr>
            <w:tcW w:type="dxa" w:w="5112"/>
            <w:vAlign w:val="center"/>
          </w:tcPr>
          <w:p>
            <w:r/>
            <w:r>
              <w:rPr>
                <w:rFonts w:ascii="Aptos" w:hAnsi="Aptos"/>
                <w:b w:val="0"/>
                <w:sz w:val="17"/>
              </w:rPr>
              <w:t>Story wording</w:t>
            </w:r>
          </w:p>
        </w:tc>
        <w:tc>
          <w:tcPr>
            <w:tcW w:type="dxa" w:w="5112"/>
            <w:vAlign w:val="center"/>
          </w:tcPr>
          <w:p>
            <w:r/>
            <w:r>
              <w:rPr>
                <w:rFonts w:ascii="Aptos" w:hAnsi="Aptos"/>
                <w:b w:val="0"/>
                <w:sz w:val="17"/>
              </w:rPr>
              <w:t>Candidate direction, no ID</w:t>
            </w:r>
          </w:p>
        </w:tc>
      </w:tr>
      <w:tr>
        <w:tc>
          <w:tcPr>
            <w:tcW w:type="dxa" w:w="5112"/>
            <w:vAlign w:val="center"/>
          </w:tcPr>
          <w:p>
            <w:r/>
            <w:r>
              <w:rPr>
                <w:rFonts w:ascii="Aptos" w:hAnsi="Aptos"/>
                <w:b w:val="0"/>
                <w:sz w:val="17"/>
              </w:rPr>
              <w:t>Acceptance criteria</w:t>
            </w:r>
          </w:p>
        </w:tc>
        <w:tc>
          <w:tcPr>
            <w:tcW w:type="dxa" w:w="5112"/>
            <w:vAlign w:val="center"/>
          </w:tcPr>
          <w:p>
            <w:r/>
            <w:r>
              <w:rPr>
                <w:rFonts w:ascii="Aptos" w:hAnsi="Aptos"/>
                <w:b w:val="0"/>
                <w:sz w:val="17"/>
              </w:rPr>
              <w:t>Blocked by unresolved discovery gates</w:t>
            </w:r>
          </w:p>
        </w:tc>
      </w:tr>
      <w:tr>
        <w:tc>
          <w:tcPr>
            <w:tcW w:type="dxa" w:w="5112"/>
            <w:vAlign w:val="center"/>
          </w:tcPr>
          <w:p>
            <w:r/>
            <w:r>
              <w:rPr>
                <w:rFonts w:ascii="Aptos" w:hAnsi="Aptos"/>
                <w:b w:val="0"/>
                <w:sz w:val="17"/>
              </w:rPr>
              <w:t>Knowledge sources and provenance</w:t>
            </w:r>
          </w:p>
        </w:tc>
        <w:tc>
          <w:tcPr>
            <w:tcW w:type="dxa" w:w="5112"/>
            <w:vAlign w:val="center"/>
          </w:tcPr>
          <w:p>
            <w:r/>
            <w:r>
              <w:rPr>
                <w:rFonts w:ascii="Aptos" w:hAnsi="Aptos"/>
                <w:b w:val="0"/>
                <w:sz w:val="17"/>
              </w:rPr>
              <w:t>Open</w:t>
            </w:r>
          </w:p>
        </w:tc>
      </w:tr>
      <w:tr>
        <w:tc>
          <w:tcPr>
            <w:tcW w:type="dxa" w:w="5112"/>
            <w:vAlign w:val="center"/>
          </w:tcPr>
          <w:p>
            <w:r/>
            <w:r>
              <w:rPr>
                <w:rFonts w:ascii="Aptos" w:hAnsi="Aptos"/>
                <w:b w:val="0"/>
                <w:sz w:val="17"/>
              </w:rPr>
              <w:t>Regional scope</w:t>
            </w:r>
          </w:p>
        </w:tc>
        <w:tc>
          <w:tcPr>
            <w:tcW w:type="dxa" w:w="5112"/>
            <w:vAlign w:val="center"/>
          </w:tcPr>
          <w:p>
            <w:r/>
            <w:r>
              <w:rPr>
                <w:rFonts w:ascii="Aptos" w:hAnsi="Aptos"/>
                <w:b w:val="0"/>
                <w:sz w:val="17"/>
              </w:rPr>
              <w:t>Open</w:t>
            </w:r>
          </w:p>
        </w:tc>
      </w:tr>
      <w:tr>
        <w:tc>
          <w:tcPr>
            <w:tcW w:type="dxa" w:w="5112"/>
            <w:vAlign w:val="center"/>
          </w:tcPr>
          <w:p>
            <w:r/>
            <w:r>
              <w:rPr>
                <w:rFonts w:ascii="Aptos" w:hAnsi="Aptos"/>
                <w:b w:val="0"/>
                <w:sz w:val="17"/>
              </w:rPr>
              <w:t>Localisation model</w:t>
            </w:r>
          </w:p>
        </w:tc>
        <w:tc>
          <w:tcPr>
            <w:tcW w:type="dxa" w:w="5112"/>
            <w:vAlign w:val="center"/>
          </w:tcPr>
          <w:p>
            <w:r/>
            <w:r>
              <w:rPr>
                <w:rFonts w:ascii="Aptos" w:hAnsi="Aptos"/>
                <w:b w:val="0"/>
                <w:sz w:val="17"/>
              </w:rPr>
              <w:t>Open</w:t>
            </w:r>
          </w:p>
        </w:tc>
      </w:tr>
      <w:tr>
        <w:tc>
          <w:tcPr>
            <w:tcW w:type="dxa" w:w="5112"/>
            <w:vAlign w:val="center"/>
          </w:tcPr>
          <w:p>
            <w:r/>
            <w:r>
              <w:rPr>
                <w:rFonts w:ascii="Aptos" w:hAnsi="Aptos"/>
                <w:b w:val="0"/>
                <w:sz w:val="17"/>
              </w:rPr>
              <w:t>Regulatory boundary</w:t>
            </w:r>
          </w:p>
        </w:tc>
        <w:tc>
          <w:tcPr>
            <w:tcW w:type="dxa" w:w="5112"/>
            <w:vAlign w:val="center"/>
          </w:tcPr>
          <w:p>
            <w:r/>
            <w:r>
              <w:rPr>
                <w:rFonts w:ascii="Aptos" w:hAnsi="Aptos"/>
                <w:b w:val="0"/>
                <w:sz w:val="17"/>
              </w:rPr>
              <w:t>Open</w:t>
            </w:r>
          </w:p>
        </w:tc>
      </w:tr>
      <w:tr>
        <w:tc>
          <w:tcPr>
            <w:tcW w:type="dxa" w:w="5112"/>
            <w:vAlign w:val="center"/>
          </w:tcPr>
          <w:p>
            <w:r/>
            <w:r>
              <w:rPr>
                <w:rFonts w:ascii="Aptos" w:hAnsi="Aptos"/>
                <w:b w:val="0"/>
                <w:sz w:val="17"/>
              </w:rPr>
              <w:t>Operating model</w:t>
            </w:r>
          </w:p>
        </w:tc>
        <w:tc>
          <w:tcPr>
            <w:tcW w:type="dxa" w:w="5112"/>
            <w:vAlign w:val="center"/>
          </w:tcPr>
          <w:p>
            <w:r/>
            <w:r>
              <w:rPr>
                <w:rFonts w:ascii="Aptos" w:hAnsi="Aptos"/>
                <w:b w:val="0"/>
                <w:sz w:val="17"/>
              </w:rPr>
              <w:t>Open</w:t>
            </w:r>
          </w:p>
        </w:tc>
      </w:tr>
      <w:tr>
        <w:tc>
          <w:tcPr>
            <w:tcW w:type="dxa" w:w="5112"/>
            <w:vAlign w:val="center"/>
          </w:tcPr>
          <w:p>
            <w:r/>
            <w:r>
              <w:rPr>
                <w:rFonts w:ascii="Aptos" w:hAnsi="Aptos"/>
                <w:b w:val="0"/>
                <w:sz w:val="17"/>
              </w:rPr>
              <w:t>Priority</w:t>
            </w:r>
          </w:p>
        </w:tc>
        <w:tc>
          <w:tcPr>
            <w:tcW w:type="dxa" w:w="5112"/>
            <w:vAlign w:val="center"/>
          </w:tcPr>
          <w:p>
            <w:r/>
            <w:r>
              <w:rPr>
                <w:rFonts w:ascii="Aptos" w:hAnsi="Aptos"/>
                <w:b w:val="0"/>
                <w:sz w:val="17"/>
              </w:rPr>
              <w:t>Open</w:t>
            </w:r>
          </w:p>
        </w:tc>
      </w:tr>
      <w:tr>
        <w:tc>
          <w:tcPr>
            <w:tcW w:type="dxa" w:w="5112"/>
            <w:vAlign w:val="center"/>
          </w:tcPr>
          <w:p>
            <w:r/>
            <w:r>
              <w:rPr>
                <w:rFonts w:ascii="Aptos" w:hAnsi="Aptos"/>
                <w:b w:val="0"/>
                <w:sz w:val="17"/>
              </w:rPr>
              <w:t>Story Points</w:t>
            </w:r>
          </w:p>
        </w:tc>
        <w:tc>
          <w:tcPr>
            <w:tcW w:type="dxa" w:w="5112"/>
            <w:vAlign w:val="center"/>
          </w:tcPr>
          <w:p>
            <w:r/>
            <w:r>
              <w:rPr>
                <w:rFonts w:ascii="Aptos" w:hAnsi="Aptos"/>
                <w:b w:val="0"/>
                <w:sz w:val="17"/>
              </w:rPr>
              <w:t>Not applicable before real Sprint Planning</w:t>
            </w:r>
          </w:p>
        </w:tc>
      </w:tr>
    </w:tbl>
    <w:p>
      <w:r>
        <w:rPr>
          <w:rFonts w:ascii="Aptos" w:hAnsi="Aptos"/>
          <w:b/>
          <w:sz w:val="19"/>
        </w:rPr>
        <w:t>9. Pass 3 Decision</w:t>
      </w:r>
    </w:p>
    <w:p>
      <w:r>
        <w:rPr>
          <w:rFonts w:ascii="Aptos" w:hAnsi="Aptos"/>
          <w:b w:val="0"/>
          <w:sz w:val="19"/>
        </w:rPr>
        <w:t>Pass 3 establishes a controlled delivery structure for EPIC-F04 without authorising Jira creation. The next progression decision depends on resolving the nine F04 discovery gates, especially user value, content authority, knowledge representation, regional scope, localisation, regulatory boundaries, and operating ownership.</w:t>
      </w:r>
    </w:p>
    <w:p>
      <w:r>
        <w:rPr>
          <w:rFonts w:ascii="Aptos" w:hAnsi="Aptos"/>
          <w:b w:val="0"/>
          <w:sz w:val="19"/>
        </w:rPr>
        <w:t>No future requirement ID, story ID, Story Points, Bugs, Sprint results, or delivery claims are created in this pass.</w:t>
      </w:r>
    </w:p>
    <w:sectPr w:rsidR="00FC693F" w:rsidRPr="0006063C" w:rsidSect="00034616">
      <w:footerReference w:type="default" r:id="rId9"/>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EcoGrow Future-State Discovery | EPIC-F04 | Pass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