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EcoGrow Future-State Discovery</w:t>
        <w:br/>
        <w:t>EPIC-F04 Global Plant Intelligence | Portfolio Packaging | Pass 5</w:t>
      </w:r>
    </w:p>
    <w:p>
      <w:pPr>
        <w:spacing w:after="100"/>
      </w:pPr>
      <w:r>
        <w:rPr>
          <w:b/>
          <w:sz w:val="19"/>
        </w:rPr>
        <w:t>Prepared by Doris Frank, Business Analyst</w:t>
      </w:r>
    </w:p>
    <w:p>
      <w:pPr>
        <w:spacing w:after="120"/>
      </w:pPr>
      <w:r>
        <w:t>Status: Final portfolio packaging of a constrained future-state discovery track</w:t>
      </w:r>
    </w:p>
    <w:p>
      <w:pPr>
        <w:pStyle w:val="Heading1"/>
        <w:spacing w:before="100" w:after="60"/>
      </w:pPr>
      <w:r>
        <w:t>1. Portfolio Position</w:t>
      </w:r>
    </w:p>
    <w:p>
      <w:pPr>
        <w:spacing w:after="80" w:line="245" w:lineRule="auto"/>
      </w:pPr>
      <w:r>
        <w:t>F04 is packaged as a regional plant-knowledge capability, with delivery progression controlled by content, localisation, regulatory and operating-model evidence. The package preserves the constrained posture established in Pass 3 and independently checked in Pass 4.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44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Item</w:t>
            </w:r>
          </w:p>
        </w:tc>
        <w:tc>
          <w:tcPr>
            <w:tcW w:type="dxa" w:w="82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Final position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Epic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EPIC-F04 Global Plant Intelligence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Features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F04.1 Plant Knowledge Expansion; F04.2 Regional Plant Context; F04.3 Climate and Growing-Season Context; F04.4 Localisation and Content Adaptation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Future requirement IDs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None assigned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Future story IDs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None assigned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Jira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Not authorised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Story Points / Bugs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None created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Delivery state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Gated future-state discovery, not approved delivery</w:t>
            </w:r>
          </w:p>
        </w:tc>
      </w:tr>
    </w:tbl>
    <w:p>
      <w:pPr>
        <w:spacing w:after="20"/>
      </w:pPr>
    </w:p>
    <w:p>
      <w:pPr>
        <w:pStyle w:val="Heading1"/>
        <w:spacing w:before="100" w:after="60"/>
      </w:pPr>
      <w:r>
        <w:t>2. Executive Future-State Story</w:t>
      </w:r>
    </w:p>
    <w:p>
      <w:pPr>
        <w:spacing w:after="80" w:line="245" w:lineRule="auto"/>
      </w:pPr>
      <w:r>
        <w:t>I explored how EcoGrow could expand plant knowledge from a generic catalogue toward region-aware information across selected species, varieties and markets. I kept climate and growing-season context within the information layer, while real-time weather guidance remains in F02.</w:t>
      </w:r>
    </w:p>
    <w:p>
      <w:pPr>
        <w:spacing w:after="80" w:line="245" w:lineRule="auto"/>
      </w:pPr>
      <w:r>
        <w:t>The work shows how I handled a capability where global breadth can create content, localisation, regulatory and operating-model complexity. I kept those decisions visible rather than treating global coverage as an assumption.</w:t>
      </w:r>
    </w:p>
    <w:p>
      <w:pPr>
        <w:pStyle w:val="Heading1"/>
        <w:spacing w:before="100" w:after="60"/>
      </w:pPr>
      <w:r>
        <w:t>3. Cross-Epic Progression Signal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244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Epic</w:t>
            </w:r>
          </w:p>
        </w:tc>
        <w:tc>
          <w:tcPr>
            <w:tcW w:type="dxa" w:w="374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Translation posture</w:t>
            </w:r>
          </w:p>
        </w:tc>
        <w:tc>
          <w:tcPr>
            <w:tcW w:type="dxa" w:w="446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Reason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F01 Smart Plant Care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Candidate requirements and story direction translated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Lower discovery risk and clearer bounded content capability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F02 Weather-Aware Gardening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Constrained translation with IDs withheld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Location, privacy, external data and weather-rule uncertainty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F03 Plant Health and Protection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Constrained translation only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Higher safety, evidence, privacy, specialist and treatment risk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F04 Global Plant Intelligence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Constrained translation only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Regional scope, localisation, regulatory and operating-model uncertainty</w:t>
            </w:r>
          </w:p>
        </w:tc>
      </w:tr>
    </w:tbl>
    <w:p>
      <w:pPr>
        <w:spacing w:after="20"/>
      </w:pPr>
    </w:p>
    <w:p>
      <w:pPr>
        <w:spacing w:after="80" w:line="245" w:lineRule="auto"/>
      </w:pPr>
      <w:r>
        <w:t>The progression pattern is deliberate. Each epic receives the level of translation supported by its own evidence and risk profile.</w:t>
      </w:r>
    </w:p>
    <w:p>
      <w:pPr>
        <w:pStyle w:val="Heading1"/>
        <w:spacing w:before="100" w:after="60"/>
      </w:pPr>
      <w:r>
        <w:t>4. Governance and Regional Readiness Signal</w:t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388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Governance area</w:t>
            </w:r>
          </w:p>
        </w:tc>
        <w:tc>
          <w:tcPr>
            <w:tcW w:type="dxa" w:w="67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Current position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Plant Science / Horticulture SME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Future governance dependency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Localisation / regional content expertise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Open governance question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Regulatory / market expertise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Open governance question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Technical / Data / Platform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Delivery dependency, ownership TBD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Content sources and provenance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Open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Regional scope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Open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Localisation model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Open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Regulatory boundary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Open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Operating model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Open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Priority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Open</w:t>
            </w:r>
          </w:p>
        </w:tc>
      </w:tr>
    </w:tbl>
    <w:p>
      <w:pPr>
        <w:spacing w:after="20"/>
      </w:pPr>
    </w:p>
    <w:p>
      <w:pPr>
        <w:spacing w:after="80" w:line="245" w:lineRule="auto"/>
      </w:pPr>
      <w:r>
        <w:t>F04 introduces a distinct governance question from F01, F02 and F03. The core issue is how regional content can remain trusted, locally appropriate, legally bounded and operationally maintained over time.</w:t>
      </w:r>
    </w:p>
    <w:p>
      <w:pPr>
        <w:pStyle w:val="Heading1"/>
        <w:spacing w:before="100" w:after="60"/>
      </w:pPr>
      <w:r>
        <w:t>5. Nine-Gate Progression Bar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446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Gate</w:t>
            </w:r>
          </w:p>
        </w:tc>
        <w:tc>
          <w:tcPr>
            <w:tcW w:type="dxa" w:w="619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Portfolio status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Problem validation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Open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Content authority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Open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Knowledge model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Open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Regional scope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Open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Localisation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Open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Regulatory assessment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Open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Operating model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Open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Acceptance logic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Blocked until preceding gates resolve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Value and priority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Decision required</w:t>
            </w:r>
          </w:p>
        </w:tc>
      </w:tr>
    </w:tbl>
    <w:p>
      <w:pPr>
        <w:spacing w:after="20"/>
      </w:pPr>
    </w:p>
    <w:p>
      <w:pPr>
        <w:spacing w:after="80" w:line="245" w:lineRule="auto"/>
      </w:pPr>
      <w:r>
        <w:t>The nine-gate model is intentionally distinct from F03. F04 focuses on regional knowledge breadth, localisation, regulatory reach and content operations.</w:t>
      </w:r>
    </w:p>
    <w:p>
      <w:pPr>
        <w:pStyle w:val="Heading1"/>
        <w:spacing w:before="100" w:after="60"/>
      </w:pPr>
      <w:r>
        <w:t>6. Evidence Boundary</w:t>
      </w:r>
    </w:p>
    <w:p>
      <w:pPr>
        <w:spacing w:after="80" w:line="245" w:lineRule="auto"/>
      </w:pPr>
      <w:r>
        <w:t>This package represents future-state discovery and requirements-engineering work only. It does not claim global content coverage, regulatory approval, production implementation, product acceptance, build completion, sprint delivery, Story Points, Bugs or realised benefits.</w:t>
      </w:r>
    </w:p>
    <w:p>
      <w:pPr>
        <w:pStyle w:val="Heading1"/>
        <w:spacing w:before="100" w:after="60"/>
      </w:pPr>
      <w:r>
        <w:t>7. Portfolio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388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Source artifact</w:t>
            </w:r>
          </w:p>
        </w:tc>
        <w:tc>
          <w:tcPr>
            <w:tcW w:type="dxa" w:w="67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Packaging use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Revalidated Vision and Capability Map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Confirms F04 future epic boundary, six-epic structure and global-readiness separation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F04 Pass 2 Deep Discovery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Source for four features, discovery questions, NFR themes and nine-gate progression bar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F04 Pass 3 Delivery Translation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Source for constrained translation, candidate wording and unassigned requirement/story levels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F04 Pass 4 Cross-Artifact QA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Independent check of Pass 2, Pass 3, cross-epic boundaries, IDs and nine-gate integrity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F01, F02 and F03 portfolio packages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Sibling-epic reference for boundary, numbering and progression posture</w:t>
            </w:r>
          </w:p>
        </w:tc>
      </w:tr>
    </w:tbl>
    <w:p>
      <w:pPr>
        <w:spacing w:after="20"/>
      </w:pPr>
    </w:p>
    <w:p>
      <w:pPr>
        <w:pStyle w:val="Heading1"/>
        <w:spacing w:before="100" w:after="60"/>
      </w:pPr>
      <w:r>
        <w:t>8. Recruiter-Facing Signal</w:t>
      </w:r>
    </w:p>
    <w:p>
      <w:pPr>
        <w:spacing w:after="80" w:line="245" w:lineRule="auto"/>
      </w:pPr>
      <w:r>
        <w:t>I would present F04 as evidence of senior BA judgement in a globalisation context. I translated a broad opportunity into a bounded Epic and feature structure, exposed regulatory and operating-model dependencies, preserved cross-epic boundaries, and stopped progression where the evidence remained incomplete.</w:t>
      </w:r>
    </w:p>
    <w:p>
      <w:pPr>
        <w:pStyle w:val="Heading1"/>
        <w:spacing w:before="100" w:after="60"/>
      </w:pPr>
      <w:r>
        <w:t>9. Final Packaging Decision</w:t>
      </w:r>
    </w:p>
    <w:p>
      <w:pPr>
        <w:spacing w:after="80" w:line="245" w:lineRule="auto"/>
      </w:pPr>
      <w:r>
        <w:t>F04 is portfolio-complete as a future-state discovery package, but it is not delivery-ready. Pass 5 packages the work without converting discovery questions into approved requirements or delivery evidence.</w:t>
      </w:r>
    </w:p>
    <w:sectPr w:rsidR="00FC693F" w:rsidRPr="0006063C" w:rsidSect="00034616">
      <w:footerReference w:type="default" r:id="rId9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5"/>
      </w:rPr>
      <w:t>EcoGrow Future-State Discovery | EPIC-F04 | Pass 5 | Doris Frank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