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i w:val="0"/>
        </w:rPr>
        <w:t>EcoGrow Future-State Discovery | EPIC-F05 | Cross-Artifact QA | Pass 4</w:t>
      </w:r>
    </w:p>
    <w:p>
      <w:pPr>
        <w:spacing w:after="60"/>
        <w:jc w:val="center"/>
      </w:pPr>
      <w:r>
        <w:rPr>
          <w:b w:val="0"/>
          <w:i w:val="0"/>
        </w:rPr>
        <w:t>Prepared by Doris Frank, Business Analyst</w:t>
      </w:r>
    </w:p>
    <w:p>
      <w:pPr>
        <w:pStyle w:val="Title"/>
        <w:spacing w:after="60"/>
      </w:pPr>
      <w:r>
        <w:rPr>
          <w:b w:val="0"/>
          <w:i w:val="0"/>
        </w:rPr>
        <w:t>EPIC-F05 Personalised Garden Experience | Independent Cross-Artifact QA</w:t>
      </w:r>
    </w:p>
    <w:p>
      <w:pPr>
        <w:spacing w:after="60"/>
      </w:pPr>
      <w:r>
        <w:rPr>
          <w:b w:val="0"/>
          <w:i w:val="0"/>
        </w:rPr>
        <w:t>Status: Independent QA of Pass 2 and corrected Pass 3. This pass does not amend the locked MVP, create Jira commitments, or represent built functionality.</w:t>
      </w:r>
    </w:p>
    <w:p>
      <w:pPr>
        <w:pStyle w:val="Heading1"/>
        <w:spacing w:after="60"/>
      </w:pPr>
      <w:r>
        <w:rPr>
          <w:b w:val="0"/>
          <w:i w:val="0"/>
        </w:rPr>
        <w:t>1. QA Scope</w:t>
      </w:r>
    </w:p>
    <w:p>
      <w:pPr>
        <w:spacing w:after="60"/>
      </w:pPr>
      <w:r>
        <w:rPr>
          <w:b w:val="0"/>
          <w:i w:val="0"/>
        </w:rPr>
        <w:t>I revalidated the corrected F05 Pass 3 against the F05 Deep Discovery Pass 2, the revalidated Product Vision and Capability Map, and the final portfolio packages for sibling epics F01 through F04. The sibling-package check is included to test boundary integrity beyond the immediate F05 pair.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12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Source artifact</w:t>
            </w:r>
          </w:p>
        </w:tc>
        <w:tc>
          <w:tcPr>
            <w:tcW w:type="dxa" w:w="6624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QA use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F05 Deep Discovery Pass 2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Primary discovery baseline, feature names, candidate directions, NFR themes, nine-gate progression model.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F05 Delivery Translation Pass 3, corrected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Primary translation artifact under QA, including the corrected five-epic boundary wording.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Revalidated Product Vision and Capability Map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Future-state scope, F05 purpose, five-sibling boundary, governance posture.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F01-F04 final portfolio packages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Cross-epic boundary validation against the established final sequence.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Locked EcoGrow MVP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Historical baseline check to ensure no MVP scope or IDs are amended.</w:t>
            </w:r>
          </w:p>
        </w:tc>
      </w:tr>
    </w:tbl>
    <w:p>
      <w:pPr>
        <w:pStyle w:val="Heading1"/>
        <w:spacing w:after="60"/>
      </w:pPr>
      <w:r>
        <w:rPr>
          <w:b w:val="0"/>
          <w:i w:val="0"/>
        </w:rPr>
        <w:t>2. Feature and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Control</w:t>
            </w:r>
          </w:p>
        </w:tc>
        <w:tc>
          <w:tcPr>
            <w:tcW w:type="dxa" w:w="201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Pass 2</w:t>
            </w:r>
          </w:p>
        </w:tc>
        <w:tc>
          <w:tcPr>
            <w:tcW w:type="dxa" w:w="201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Pass 3</w:t>
            </w:r>
          </w:p>
        </w:tc>
        <w:tc>
          <w:tcPr>
            <w:tcW w:type="dxa" w:w="2448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QA finding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F05.1 Gardener Profile and Preferences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F05.2 Garden Context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F05.3 Personalised Relevance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F05.4 History and Personalisation Controls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Candidate requirement directions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Unnumbered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Unnumbered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Candidate story direction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Unnumbered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Unnumbered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</w:tbl>
    <w:p>
      <w:pPr>
        <w:pStyle w:val="Heading1"/>
        <w:spacing w:after="60"/>
      </w:pPr>
      <w:r>
        <w:rPr>
          <w:b w:val="0"/>
          <w:i w:val="0"/>
        </w:rPr>
        <w:t>3. Gate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504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312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Gate</w:t>
            </w:r>
          </w:p>
        </w:tc>
        <w:tc>
          <w:tcPr>
            <w:tcW w:type="dxa" w:w="1512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Pass 2</w:t>
            </w:r>
          </w:p>
        </w:tc>
        <w:tc>
          <w:tcPr>
            <w:tcW w:type="dxa" w:w="1512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Pass 3</w:t>
            </w:r>
          </w:p>
        </w:tc>
        <w:tc>
          <w:tcPr>
            <w:tcW w:type="dxa" w:w="1008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QA</w:t>
            </w:r>
          </w:p>
        </w:tc>
      </w:tr>
      <w:t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Problem validation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Value proposition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Consent and privacy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Data model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Personalisation logic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Transparency and control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Data lifecycle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Acceptance logic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Value and priority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Present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</w:tbl>
    <w:p>
      <w:pPr>
        <w:spacing w:after="60"/>
      </w:pPr>
      <w:r>
        <w:rPr>
          <w:b w:val="0"/>
          <w:i w:val="0"/>
        </w:rPr>
        <w:t>QA decision: exactly nine gates are preserved in the same order and wording. The nine-gate model remains intentionally distinct from F03’s ten-gate safety-oriented model and F04’s nine-gate regional-content model.</w:t>
      </w:r>
    </w:p>
    <w:p>
      <w:pPr>
        <w:pStyle w:val="Heading1"/>
        <w:spacing w:after="60"/>
      </w:pPr>
      <w:r>
        <w:rPr>
          <w:b w:val="0"/>
          <w:i w:val="0"/>
        </w:rPr>
        <w:t>4. Cross-Epic Boundary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Boundary</w:t>
            </w:r>
          </w:p>
        </w:tc>
        <w:tc>
          <w:tcPr>
            <w:tcW w:type="dxa" w:w="633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F05 QA position</w:t>
            </w:r>
          </w:p>
        </w:tc>
      </w:tr>
      <w:tr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F01 Smart Plant Care</w:t>
            </w:r>
          </w:p>
        </w:tc>
        <w:tc>
          <w:tcPr>
            <w:tcW w:type="dxa" w:w="63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Plant-specific care and watering remain separate.</w:t>
            </w:r>
          </w:p>
        </w:tc>
      </w:tr>
      <w:tr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F02 Weather-Aware Gardening</w:t>
            </w:r>
          </w:p>
        </w:tc>
        <w:tc>
          <w:tcPr>
            <w:tcW w:type="dxa" w:w="63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Weather-aware context remains separate.</w:t>
            </w:r>
          </w:p>
        </w:tc>
      </w:tr>
      <w:tr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F03 Plant Health and Protection</w:t>
            </w:r>
          </w:p>
        </w:tc>
        <w:tc>
          <w:tcPr>
            <w:tcW w:type="dxa" w:w="63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Plant-health identification and treatment remain separate.</w:t>
            </w:r>
          </w:p>
        </w:tc>
      </w:tr>
      <w:tr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F04 Global Plant Intelligence</w:t>
            </w:r>
          </w:p>
        </w:tc>
        <w:tc>
          <w:tcPr>
            <w:tcW w:type="dxa" w:w="63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Regional plant intelligence remains separate.</w:t>
            </w:r>
          </w:p>
        </w:tc>
      </w:tr>
      <w:tr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F06 Platform Scalability and Global Readiness</w:t>
            </w:r>
          </w:p>
        </w:tc>
        <w:tc>
          <w:tcPr>
            <w:tcW w:type="dxa" w:w="63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Broader platform scale and global-readiness assessment remains separate.</w:t>
            </w:r>
          </w:p>
        </w:tc>
      </w:tr>
      <w:tr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Personalised reminders, automated decisions, inferred sensitive attributes</w:t>
            </w:r>
          </w:p>
        </w:tc>
        <w:tc>
          <w:tcPr>
            <w:tcW w:type="dxa" w:w="63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Remain explicitly excluded from F05 translation.</w:t>
            </w:r>
          </w:p>
        </w:tc>
      </w:tr>
    </w:tbl>
    <w:p>
      <w:pPr>
        <w:spacing w:after="60"/>
      </w:pPr>
      <w:r>
        <w:rPr>
          <w:b w:val="0"/>
          <w:i w:val="0"/>
        </w:rPr>
        <w:t>QA finding: the corrected Pass 3 now states the five-epic boundary consistently. No cross-epic scope is redrawn or leaked.</w:t>
      </w:r>
    </w:p>
    <w:p>
      <w:pPr>
        <w:pStyle w:val="Heading1"/>
        <w:spacing w:after="60"/>
      </w:pPr>
      <w:r>
        <w:rPr>
          <w:b w:val="0"/>
          <w:i w:val="0"/>
        </w:rPr>
        <w:t>5. ID and Delivery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032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Control</w:t>
            </w:r>
          </w:p>
        </w:tc>
        <w:tc>
          <w:tcPr>
            <w:tcW w:type="dxa" w:w="5904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QA finding</w:t>
            </w:r>
          </w:p>
        </w:tc>
      </w:tr>
      <w:t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Future requirement IDs</w:t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None assigned</w:t>
            </w:r>
          </w:p>
        </w:tc>
      </w:tr>
      <w:t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Future story ID</w:t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None assigned</w:t>
            </w:r>
          </w:p>
        </w:tc>
      </w:tr>
      <w:t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MVP FR-01 to FR-09</w:t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No changes</w:t>
            </w:r>
          </w:p>
        </w:tc>
      </w:tr>
      <w:t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F01 FR-10 / FR-11 / US-08</w:t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No reuse or collision</w:t>
            </w:r>
          </w:p>
        </w:tc>
      </w:tr>
      <w:t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NFR IDs</w:t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None assigned</w:t>
            </w:r>
          </w:p>
        </w:tc>
      </w:tr>
      <w:t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Story Points</w:t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Not assigned</w:t>
            </w:r>
          </w:p>
        </w:tc>
      </w:tr>
      <w:t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Bugs</w:t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None created</w:t>
            </w:r>
          </w:p>
        </w:tc>
      </w:tr>
      <w:t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Jira creation</w:t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Not approved</w:t>
            </w:r>
          </w:p>
        </w:tc>
      </w:tr>
      <w:t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Formal acceptance criteria</w:t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Deferred</w:t>
            </w:r>
          </w:p>
        </w:tc>
      </w:tr>
      <w:tr>
        <w:tc>
          <w:tcPr>
            <w:tcW w:type="dxa" w:w="40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Production or delivery claims</w:t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None</w:t>
            </w:r>
          </w:p>
        </w:tc>
      </w:tr>
    </w:tbl>
    <w:p>
      <w:pPr>
        <w:pStyle w:val="Heading1"/>
        <w:spacing w:after="60"/>
      </w:pPr>
      <w:r>
        <w:rPr>
          <w:b w:val="0"/>
          <w:i w:val="0"/>
        </w:rPr>
        <w:t>6. Governance and Data Boundary</w:t>
      </w:r>
    </w:p>
    <w:p>
      <w:pPr>
        <w:spacing w:after="60"/>
      </w:pPr>
      <w:r>
        <w:rPr>
          <w:b w:val="0"/>
          <w:i w:val="0"/>
        </w:rPr>
        <w:t>The F05 governance thread remains distinct: consent, privacy, data minimisation, personalisation logic, transparency, user control, lifecycle, and value justification. Pass 3 does not convert open questions into resolved policy decisions. The Privacy / Data Governance role and UX / Content expertise remain open governance questions, while Gardener and Product Owner / GreenSphere remain the stated primary and governance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Governance area</w:t>
            </w:r>
          </w:p>
        </w:tc>
        <w:tc>
          <w:tcPr>
            <w:tcW w:type="dxa" w:w="6192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Current QA position</w:t>
            </w:r>
          </w:p>
        </w:tc>
      </w:tr>
      <w:tr>
        <w:tc>
          <w:tcPr>
            <w:tcW w:type="dxa" w:w="3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Consent and privacy</w:t>
            </w:r>
          </w:p>
        </w:tc>
        <w:tc>
          <w:tcPr>
            <w:tcW w:type="dxa" w:w="61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Open and appropriately gated</w:t>
            </w:r>
          </w:p>
        </w:tc>
      </w:tr>
      <w:tr>
        <w:tc>
          <w:tcPr>
            <w:tcW w:type="dxa" w:w="3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Data model and minimisation</w:t>
            </w:r>
          </w:p>
        </w:tc>
        <w:tc>
          <w:tcPr>
            <w:tcW w:type="dxa" w:w="61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Open and appropriately gated</w:t>
            </w:r>
          </w:p>
        </w:tc>
      </w:tr>
      <w:tr>
        <w:tc>
          <w:tcPr>
            <w:tcW w:type="dxa" w:w="3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Personalisation logic</w:t>
            </w:r>
          </w:p>
        </w:tc>
        <w:tc>
          <w:tcPr>
            <w:tcW w:type="dxa" w:w="61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Open and bounded for discovery</w:t>
            </w:r>
          </w:p>
        </w:tc>
      </w:tr>
      <w:tr>
        <w:tc>
          <w:tcPr>
            <w:tcW w:type="dxa" w:w="3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Transparency and control</w:t>
            </w:r>
          </w:p>
        </w:tc>
        <w:tc>
          <w:tcPr>
            <w:tcW w:type="dxa" w:w="61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Open and explicitly required</w:t>
            </w:r>
          </w:p>
        </w:tc>
      </w:tr>
      <w:tr>
        <w:tc>
          <w:tcPr>
            <w:tcW w:type="dxa" w:w="3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Data lifecycle</w:t>
            </w:r>
          </w:p>
        </w:tc>
        <w:tc>
          <w:tcPr>
            <w:tcW w:type="dxa" w:w="61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Open and explicitly required</w:t>
            </w:r>
          </w:p>
        </w:tc>
      </w:tr>
      <w:tr>
        <w:tc>
          <w:tcPr>
            <w:tcW w:type="dxa" w:w="3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Value and priority</w:t>
            </w:r>
          </w:p>
        </w:tc>
        <w:tc>
          <w:tcPr>
            <w:tcW w:type="dxa" w:w="61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Decision required after evidence is established</w:t>
            </w:r>
          </w:p>
        </w:tc>
      </w:tr>
    </w:tbl>
    <w:p>
      <w:pPr>
        <w:pStyle w:val="Heading1"/>
        <w:spacing w:after="60"/>
      </w:pPr>
      <w:r>
        <w:rPr>
          <w:b w:val="0"/>
          <w:i w:val="0"/>
        </w:rPr>
        <w:t>7. Mechanical and Structural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32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Check</w:t>
            </w:r>
          </w:p>
        </w:tc>
        <w:tc>
          <w:tcPr>
            <w:tcW w:type="dxa" w:w="561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Feature-name preservation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Nine-gate count and order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Five-epic boundary wording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Future ID collisions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PASS: none created</w:t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MVP scope leakage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PASS: none</w:t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Acceptance-criteria invention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PASS: deferred</w:t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Jira readiness overstatement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PASS: not approved</w:t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Reversal construction / em-dash controls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Paragraph count after correction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PASS: correction limited to one phrase</w:t>
            </w:r>
          </w:p>
        </w:tc>
      </w:tr>
    </w:tbl>
    <w:p>
      <w:pPr>
        <w:pStyle w:val="Heading1"/>
        <w:spacing w:after="60"/>
      </w:pPr>
      <w:r>
        <w:rPr>
          <w:b w:val="0"/>
          <w:i w:val="0"/>
        </w:rPr>
        <w:t>8. QA Decision</w:t>
      </w:r>
    </w:p>
    <w:p>
      <w:pPr>
        <w:spacing w:after="60"/>
      </w:pPr>
      <w:r>
        <w:rPr>
          <w:b w:val="0"/>
          <w:i w:val="0"/>
        </w:rPr>
        <w:t>PASS. The corrected F05 Pass 3 is structurally consistent with Pass 2, the revalidated Product Vision and Capability Map, and the sibling future-state portfolio sequence. The five-epic boundary correction is confirmed. The constrained translation posture is preserved, and no future requirement, story, NFR, Story Point, Bug, or Jira commitment has been introduced.</w:t>
      </w:r>
    </w:p>
    <w:p>
      <w:pPr>
        <w:spacing w:after="60"/>
      </w:pPr>
      <w:r>
        <w:rPr>
          <w:b w:val="0"/>
          <w:i w:val="0"/>
        </w:rPr>
        <w:t>Next controlled stage: Pass 5 Portfolio Packaging after this QA result is accepted.</w:t>
      </w:r>
    </w:p>
    <w:p>
      <w:pPr>
        <w:pStyle w:val="Heading1"/>
        <w:spacing w:after="60"/>
      </w:pPr>
      <w:r>
        <w:rPr>
          <w:b w:val="0"/>
          <w:i w:val="0"/>
        </w:rPr>
        <w:t>9. Evidence Boundary</w:t>
      </w:r>
    </w:p>
    <w:p>
      <w:pPr>
        <w:spacing w:after="60"/>
      </w:pPr>
      <w:r>
        <w:rPr>
          <w:b w:val="0"/>
          <w:i w:val="0"/>
        </w:rPr>
        <w:t>This QA package demonstrates cross-artifact requirements-engineering discipline, future-state traceability, boundary control, and progression governance. It does not establish product acceptance, production readiness, sprint delivery, realised benefits, or approved personalisation policy.</w:t>
      </w:r>
    </w:p>
    <w:p>
      <w:pPr>
        <w:spacing w:after="60"/>
      </w:pPr>
      <w:r>
        <w:rPr>
          <w:b w:val="0"/>
          <w:i w:val="0"/>
        </w:rPr>
        <w:t>Traceability note: Pass 3 uses the revalidated Product Vision and Capability Map, F05 Pass 2, and the established F01-F04 final portfolio packages. The corrected wording in the Pass 3 traceability section states the five-epic boundary and is the version reviewed here.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