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EcoGrow Future-State Discovery</w:t>
      </w:r>
    </w:p>
    <w:p>
      <w:pPr>
        <w:jc w:val="left"/>
      </w:pPr>
      <w:r>
        <w:rPr>
          <w:b/>
          <w:sz w:val="26"/>
        </w:rPr>
        <w:t>EPIC-F05 Personalised Garden Experience | Delivery Translation | Pass 3</w:t>
      </w:r>
    </w:p>
    <w:p>
      <w:pPr>
        <w:spacing w:after="80" w:line="252" w:lineRule="auto"/>
      </w:pPr>
      <w:r>
        <w:t>Prepared by Doris Frank, Business Analyst</w:t>
      </w:r>
    </w:p>
    <w:p>
      <w:pPr>
        <w:pStyle w:val="SmallNote"/>
        <w:spacing w:after="80" w:line="252" w:lineRule="auto"/>
      </w:pPr>
      <w:r>
        <w:t>Status: Controlled future-state translation. This pass preserves discovery constraints, does not amend the locked MVP, and does not authorise Jira creation or built functionality.</w:t>
      </w:r>
    </w:p>
    <w:p>
      <w:pPr>
        <w:pStyle w:val="Heading1"/>
      </w:pPr>
      <w:r>
        <w:t>1. Translation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Dimension</w:t>
            </w:r>
          </w:p>
        </w:tc>
        <w:tc>
          <w:tcPr>
            <w:tcW w:type="dxa" w:w="5112"/>
            <w:shd w:fill="D9EAF7"/>
            <w:vAlign w:val="center"/>
          </w:tcPr>
          <w:p>
            <w:r>
              <w:rPr>
                <w:b/>
                <w:sz w:val="16"/>
              </w:rPr>
              <w:t>Current position</w:t>
            </w:r>
          </w:p>
        </w:tc>
      </w:tr>
      <w:tr>
        <w:tc>
          <w:tcPr>
            <w:tcW w:type="dxa" w:w="5112"/>
            <w:vAlign w:val="top"/>
          </w:tcPr>
          <w:p>
            <w:r>
              <w:rPr>
                <w:sz w:val="16"/>
              </w:rPr>
              <w:t>Future epic</w:t>
            </w:r>
          </w:p>
        </w:tc>
        <w:tc>
          <w:tcPr>
            <w:tcW w:type="dxa" w:w="5112"/>
            <w:vAlign w:val="top"/>
          </w:tcPr>
          <w:p>
            <w:r>
              <w:rPr>
                <w:sz w:val="16"/>
              </w:rPr>
              <w:t>EPIC-F05 Personalised Garden Experience</w:t>
            </w:r>
          </w:p>
        </w:tc>
      </w:tr>
      <w:tr>
        <w:tc>
          <w:tcPr>
            <w:tcW w:type="dxa" w:w="5112"/>
            <w:vAlign w:val="top"/>
          </w:tcPr>
          <w:p>
            <w:r>
              <w:rPr>
                <w:sz w:val="16"/>
              </w:rPr>
              <w:t>Source baseline</w:t>
            </w:r>
          </w:p>
        </w:tc>
        <w:tc>
          <w:tcPr>
            <w:tcW w:type="dxa" w:w="5112"/>
            <w:vAlign w:val="top"/>
          </w:tcPr>
          <w:p>
            <w:r>
              <w:rPr>
                <w:sz w:val="16"/>
              </w:rPr>
              <w:t>EPIC-F05 Deep Discovery Pass 2 and the revalidated Product Vision and Capability Map</w:t>
            </w:r>
          </w:p>
        </w:tc>
      </w:tr>
      <w:tr>
        <w:tc>
          <w:tcPr>
            <w:tcW w:type="dxa" w:w="5112"/>
            <w:vAlign w:val="top"/>
          </w:tcPr>
          <w:p>
            <w:r>
              <w:rPr>
                <w:sz w:val="16"/>
              </w:rPr>
              <w:t>Translation posture</w:t>
            </w:r>
          </w:p>
        </w:tc>
        <w:tc>
          <w:tcPr>
            <w:tcW w:type="dxa" w:w="5112"/>
            <w:vAlign w:val="top"/>
          </w:tcPr>
          <w:p>
            <w:r>
              <w:rPr>
                <w:sz w:val="16"/>
              </w:rPr>
              <w:t>Controlled delivery translation while the nine progression gates remain unresolved.</w:t>
            </w:r>
          </w:p>
        </w:tc>
      </w:tr>
      <w:tr>
        <w:tc>
          <w:tcPr>
            <w:tcW w:type="dxa" w:w="5112"/>
            <w:vAlign w:val="top"/>
          </w:tcPr>
          <w:p>
            <w:r>
              <w:rPr>
                <w:sz w:val="16"/>
              </w:rPr>
              <w:t>Future requirement IDs</w:t>
            </w:r>
          </w:p>
        </w:tc>
        <w:tc>
          <w:tcPr>
            <w:tcW w:type="dxa" w:w="5112"/>
            <w:vAlign w:val="top"/>
          </w:tcPr>
          <w:p>
            <w:r>
              <w:rPr>
                <w:sz w:val="16"/>
              </w:rPr>
              <w:t>None assigned.</w:t>
            </w:r>
          </w:p>
        </w:tc>
      </w:tr>
      <w:tr>
        <w:tc>
          <w:tcPr>
            <w:tcW w:type="dxa" w:w="5112"/>
            <w:vAlign w:val="top"/>
          </w:tcPr>
          <w:p>
            <w:r>
              <w:rPr>
                <w:sz w:val="16"/>
              </w:rPr>
              <w:t>Future story ID</w:t>
            </w:r>
          </w:p>
        </w:tc>
        <w:tc>
          <w:tcPr>
            <w:tcW w:type="dxa" w:w="5112"/>
            <w:vAlign w:val="top"/>
          </w:tcPr>
          <w:p>
            <w:r>
              <w:rPr>
                <w:sz w:val="16"/>
              </w:rPr>
              <w:t>None assigned.</w:t>
            </w:r>
          </w:p>
        </w:tc>
      </w:tr>
      <w:tr>
        <w:tc>
          <w:tcPr>
            <w:tcW w:type="dxa" w:w="5112"/>
            <w:vAlign w:val="top"/>
          </w:tcPr>
          <w:p>
            <w:r>
              <w:rPr>
                <w:sz w:val="16"/>
              </w:rPr>
              <w:t>Jira action</w:t>
            </w:r>
          </w:p>
        </w:tc>
        <w:tc>
          <w:tcPr>
            <w:tcW w:type="dxa" w:w="5112"/>
            <w:vAlign w:val="top"/>
          </w:tcPr>
          <w:p>
            <w:r>
              <w:rPr>
                <w:sz w:val="16"/>
              </w:rPr>
              <w:t>Not approved.</w:t>
            </w:r>
          </w:p>
        </w:tc>
      </w:tr>
      <w:tr>
        <w:tc>
          <w:tcPr>
            <w:tcW w:type="dxa" w:w="5112"/>
            <w:vAlign w:val="top"/>
          </w:tcPr>
          <w:p>
            <w:r>
              <w:rPr>
                <w:sz w:val="16"/>
              </w:rPr>
              <w:t>Formal acceptance criteria</w:t>
            </w:r>
          </w:p>
        </w:tc>
        <w:tc>
          <w:tcPr>
            <w:tcW w:type="dxa" w:w="5112"/>
            <w:vAlign w:val="top"/>
          </w:tcPr>
          <w:p>
            <w:r>
              <w:rPr>
                <w:sz w:val="16"/>
              </w:rPr>
              <w:t>Deferred. Acceptance logic remains a framework only.</w:t>
            </w:r>
          </w:p>
        </w:tc>
      </w:tr>
      <w:tr>
        <w:tc>
          <w:tcPr>
            <w:tcW w:type="dxa" w:w="5112"/>
            <w:vAlign w:val="top"/>
          </w:tcPr>
          <w:p>
            <w:r>
              <w:rPr>
                <w:sz w:val="16"/>
              </w:rPr>
              <w:t>Story Points</w:t>
            </w:r>
          </w:p>
        </w:tc>
        <w:tc>
          <w:tcPr>
            <w:tcW w:type="dxa" w:w="5112"/>
            <w:vAlign w:val="top"/>
          </w:tcPr>
          <w:p>
            <w:r>
              <w:rPr>
                <w:sz w:val="16"/>
              </w:rPr>
              <w:t>Not assigned.</w:t>
            </w:r>
          </w:p>
        </w:tc>
      </w:tr>
      <w:tr>
        <w:tc>
          <w:tcPr>
            <w:tcW w:type="dxa" w:w="5112"/>
            <w:vAlign w:val="top"/>
          </w:tcPr>
          <w:p>
            <w:r>
              <w:rPr>
                <w:sz w:val="16"/>
              </w:rPr>
              <w:t>Bugs</w:t>
            </w:r>
          </w:p>
        </w:tc>
        <w:tc>
          <w:tcPr>
            <w:tcW w:type="dxa" w:w="5112"/>
            <w:vAlign w:val="top"/>
          </w:tcPr>
          <w:p>
            <w:r>
              <w:rPr>
                <w:sz w:val="16"/>
              </w:rPr>
              <w:t>None. No delivery defect exists in discovery.</w:t>
            </w:r>
          </w:p>
        </w:tc>
      </w:tr>
      <w:tr>
        <w:tc>
          <w:tcPr>
            <w:tcW w:type="dxa" w:w="5112"/>
            <w:vAlign w:val="top"/>
          </w:tcPr>
          <w:p>
            <w:r>
              <w:rPr>
                <w:sz w:val="16"/>
              </w:rPr>
              <w:t>Production or delivery claims</w:t>
            </w:r>
          </w:p>
        </w:tc>
        <w:tc>
          <w:tcPr>
            <w:tcW w:type="dxa" w:w="5112"/>
            <w:vAlign w:val="top"/>
          </w:tcPr>
          <w:p>
            <w:r>
              <w:rPr>
                <w:sz w:val="16"/>
              </w:rPr>
              <w:t>None.</w:t>
            </w:r>
          </w:p>
        </w:tc>
      </w:tr>
    </w:tbl>
    <w:p>
      <w:pPr>
        <w:spacing w:after="20"/>
      </w:pPr>
    </w:p>
    <w:p>
      <w:pPr>
        <w:pStyle w:val="Heading1"/>
      </w:pPr>
      <w:r>
        <w:t>2. Future-State Delivery Position</w:t>
      </w:r>
    </w:p>
    <w:p>
      <w:pPr>
        <w:spacing w:after="80" w:line="252" w:lineRule="auto"/>
      </w:pPr>
      <w:r>
        <w:t>I preserve the Pass 2 decision that F05 is a credible future-state candidate but is not ready for Jira translation. Pass 3 therefore translates the four named feature candidates into a controlled delivery structure without converting unresolved consent, privacy, data, logic, lifecycle or value decisions into invented requirements.</w:t>
      </w:r>
    </w:p>
    <w:p>
      <w:pPr>
        <w:spacing w:after="80" w:line="252" w:lineRule="auto"/>
      </w:pPr>
      <w:r>
        <w:t>The translation is intended to make the future delivery shape explicit. It does not imply that a final profile schema, recommendation model, account-data requirement, precise location dependency, or personalisation policy has been approved.</w:t>
      </w:r>
    </w:p>
    <w:p>
      <w:pPr>
        <w:pStyle w:val="Heading1"/>
      </w:pPr>
      <w:r>
        <w:t>3. F05 Feature Translation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AF7"/>
            <w:vAlign w:val="center"/>
          </w:tcPr>
          <w:p>
            <w:r>
              <w:rPr>
                <w:b/>
                <w:sz w:val="16"/>
              </w:rPr>
              <w:t>Feature</w:t>
            </w:r>
          </w:p>
        </w:tc>
        <w:tc>
          <w:tcPr>
            <w:tcW w:type="dxa" w:w="4752"/>
            <w:shd w:fill="D9EAF7"/>
            <w:vAlign w:val="center"/>
          </w:tcPr>
          <w:p>
            <w:r>
              <w:rPr>
                <w:b/>
                <w:sz w:val="16"/>
              </w:rPr>
              <w:t>Delivery translation</w:t>
            </w:r>
          </w:p>
        </w:tc>
        <w:tc>
          <w:tcPr>
            <w:tcW w:type="dxa" w:w="2664"/>
            <w:shd w:fill="D9EAF7"/>
            <w:vAlign w:val="center"/>
          </w:tcPr>
          <w:p>
            <w:r>
              <w:rPr>
                <w:b/>
                <w:sz w:val="16"/>
              </w:rPr>
              <w:t>Boundary</w:t>
            </w:r>
          </w:p>
        </w:tc>
      </w:tr>
      <w:tr>
        <w:tc>
          <w:tcPr>
            <w:tcW w:type="dxa" w:w="2880"/>
            <w:vAlign w:val="top"/>
          </w:tcPr>
          <w:p>
            <w:r>
              <w:rPr>
                <w:sz w:val="16"/>
              </w:rPr>
              <w:t>F05.1 Gardener Profile and Preferences</w:t>
            </w:r>
          </w:p>
        </w:tc>
        <w:tc>
          <w:tcPr>
            <w:tcW w:type="dxa" w:w="4752"/>
            <w:vAlign w:val="top"/>
          </w:tcPr>
          <w:p>
            <w:r>
              <w:rPr>
                <w:sz w:val="16"/>
              </w:rPr>
              <w:t>Define a future capability for using approved profile and explicit preference information to improve relevance. The exact attributes, optionality and account requirements remain open.</w:t>
            </w:r>
          </w:p>
        </w:tc>
        <w:tc>
          <w:tcPr>
            <w:tcW w:type="dxa" w:w="2664"/>
            <w:vAlign w:val="top"/>
          </w:tcPr>
          <w:p>
            <w:r>
              <w:rPr>
                <w:sz w:val="16"/>
              </w:rPr>
              <w:t>Do not assume a final profile schema, mandatory account data, or inferred sensitive attributes.</w:t>
            </w:r>
          </w:p>
        </w:tc>
      </w:tr>
      <w:tr>
        <w:tc>
          <w:tcPr>
            <w:tcW w:type="dxa" w:w="2880"/>
            <w:vAlign w:val="top"/>
          </w:tcPr>
          <w:p>
            <w:r>
              <w:rPr>
                <w:sz w:val="16"/>
              </w:rPr>
              <w:t>F05.2 Garden Context</w:t>
            </w:r>
          </w:p>
        </w:tc>
        <w:tc>
          <w:tcPr>
            <w:tcW w:type="dxa" w:w="4752"/>
            <w:vAlign w:val="top"/>
          </w:tcPr>
          <w:p>
            <w:r>
              <w:rPr>
                <w:sz w:val="16"/>
              </w:rPr>
              <w:t>Define a future capability for using approved garden-context information where it produces measurable relevance.</w:t>
            </w:r>
          </w:p>
        </w:tc>
        <w:tc>
          <w:tcPr>
            <w:tcW w:type="dxa" w:w="2664"/>
            <w:vAlign w:val="top"/>
          </w:tcPr>
          <w:p>
            <w:r>
              <w:rPr>
                <w:sz w:val="16"/>
              </w:rPr>
              <w:t>Do not assume precise location, climate, or garden structure without evidence. Weather remains F02.</w:t>
            </w:r>
          </w:p>
        </w:tc>
      </w:tr>
      <w:tr>
        <w:tc>
          <w:tcPr>
            <w:tcW w:type="dxa" w:w="2880"/>
            <w:vAlign w:val="top"/>
          </w:tcPr>
          <w:p>
            <w:r>
              <w:rPr>
                <w:sz w:val="16"/>
              </w:rPr>
              <w:t>F05.3 Personalised Relevance</w:t>
            </w:r>
          </w:p>
        </w:tc>
        <w:tc>
          <w:tcPr>
            <w:tcW w:type="dxa" w:w="4752"/>
            <w:vAlign w:val="top"/>
          </w:tcPr>
          <w:p>
            <w:r>
              <w:rPr>
                <w:sz w:val="16"/>
              </w:rPr>
              <w:t>Define a bounded mechanism for approved signals to affect relevance across supported experiences.</w:t>
            </w:r>
          </w:p>
        </w:tc>
        <w:tc>
          <w:tcPr>
            <w:tcW w:type="dxa" w:w="2664"/>
            <w:vAlign w:val="top"/>
          </w:tcPr>
          <w:p>
            <w:r>
              <w:rPr>
                <w:sz w:val="16"/>
              </w:rPr>
              <w:t>Do not assume a final recommendation model, automated decisioning, or unrestricted ranking logic.</w:t>
            </w:r>
          </w:p>
        </w:tc>
      </w:tr>
      <w:tr>
        <w:tc>
          <w:tcPr>
            <w:tcW w:type="dxa" w:w="2880"/>
            <w:vAlign w:val="top"/>
          </w:tcPr>
          <w:p>
            <w:r>
              <w:rPr>
                <w:sz w:val="16"/>
              </w:rPr>
              <w:t>F05.4 History and Personalisation Controls</w:t>
            </w:r>
          </w:p>
        </w:tc>
        <w:tc>
          <w:tcPr>
            <w:tcW w:type="dxa" w:w="4752"/>
            <w:vAlign w:val="top"/>
          </w:tcPr>
          <w:p>
            <w:r>
              <w:rPr>
                <w:sz w:val="16"/>
              </w:rPr>
              <w:t>Define how useful history signals could support relevance and how gardeners can review, change, reset, or disable personalisation.</w:t>
            </w:r>
          </w:p>
        </w:tc>
        <w:tc>
          <w:tcPr>
            <w:tcW w:type="dxa" w:w="2664"/>
            <w:vAlign w:val="top"/>
          </w:tcPr>
          <w:p>
            <w:r>
              <w:rPr>
                <w:sz w:val="16"/>
              </w:rPr>
              <w:t>Retention, deletion, access, control and lifecycle rules remain open. Personalised reminders remain excluded.</w:t>
            </w:r>
          </w:p>
        </w:tc>
      </w:tr>
    </w:tbl>
    <w:p>
      <w:pPr>
        <w:spacing w:after="20"/>
      </w:pPr>
    </w:p>
    <w:p>
      <w:pPr>
        <w:pStyle w:val="SmallNote"/>
        <w:spacing w:after="80" w:line="252" w:lineRule="auto"/>
      </w:pPr>
      <w:r>
        <w:t>Cross-epic boundaries remain unchanged. F01 owns plant-specific care and watering. F02 owns weather-aware context. F03 owns plant-health identification and treatment. F04 owns regional plant intelligence. F06 owns broader platform scalability and global readiness.</w:t>
      </w:r>
    </w:p>
    <w:p>
      <w:pPr>
        <w:pStyle w:val="Heading1"/>
      </w:pPr>
      <w:r>
        <w:t>4. Candidate Requirement Translation</w:t>
      </w:r>
    </w:p>
    <w:p>
      <w:pPr>
        <w:pStyle w:val="SmallNote"/>
        <w:spacing w:after="80" w:line="252" w:lineRule="auto"/>
      </w:pPr>
      <w:r>
        <w:t>The Pass 2 requirement directions are translated as delivery-shaped candidates only. No future requirement ID is created because the required data scope, consent basis, personalisation model and value proposition remain unresolved.</w:t>
      </w:r>
    </w:p>
    <w:p>
      <w:pPr>
        <w:pStyle w:val="ListBullet"/>
        <w:spacing w:after="40" w:line="245" w:lineRule="auto"/>
      </w:pPr>
      <w:r>
        <w:t>Candidate requirement direction: EcoGrow may use approved gardener profile, context and preference information to improve the relevance of plant information or experiences.</w:t>
      </w:r>
    </w:p>
    <w:p>
      <w:pPr>
        <w:pStyle w:val="ListBullet"/>
        <w:spacing w:after="40" w:line="245" w:lineRule="auto"/>
      </w:pPr>
      <w:r>
        <w:t>Candidate requirement direction: EcoGrow may allow gardeners to control the personalisation information used to tailor their experience.</w:t>
      </w:r>
    </w:p>
    <w:p>
      <w:pPr>
        <w:spacing w:after="80" w:line="252" w:lineRule="auto"/>
      </w:pPr>
      <w:r>
        <w:t>Current delivery state: Candidate only. Formal requirement wording, traceability IDs, measurable acceptance criteria and prioritisation remain deferred.</w:t>
      </w:r>
    </w:p>
    <w:p>
      <w:pPr>
        <w:pStyle w:val="Heading1"/>
      </w:pPr>
      <w:r>
        <w:t>5. Candidate Story Translation</w:t>
      </w:r>
    </w:p>
    <w:p>
      <w:pPr>
        <w:spacing w:after="80" w:line="252" w:lineRule="auto"/>
      </w:pPr>
      <w:r>
        <w:t>Candidate story direction carried forward from Pass 2:</w:t>
      </w:r>
    </w:p>
    <w:p>
      <w:pPr>
        <w:spacing w:after="80" w:line="252" w:lineRule="auto"/>
      </w:pPr>
      <w:r>
        <w:t>As a gardener, I want EcoGrow to use information I choose to provide about my garden and preferences so that the experience is more relevant to me.</w:t>
      </w:r>
    </w:p>
    <w:p>
      <w:pPr>
        <w:spacing w:after="80" w:line="252" w:lineRule="auto"/>
      </w:pPr>
      <w:r>
        <w:t>This remains a discovery candidate with no future story ID. I do not convert it into a Jira story because consent, privacy, data scope, personalisation logic, controls and value evidence remain open.</w:t>
      </w:r>
    </w:p>
    <w:p>
      <w:pPr>
        <w:pStyle w:val="Heading1"/>
      </w:pPr>
      <w:r>
        <w:t>6. Story Boundary and Acceptance Logic</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Acceptance area</w:t>
            </w:r>
          </w:p>
        </w:tc>
        <w:tc>
          <w:tcPr>
            <w:tcW w:type="dxa" w:w="3408"/>
            <w:shd w:fill="D9EAF7"/>
            <w:vAlign w:val="center"/>
          </w:tcPr>
          <w:p>
            <w:r>
              <w:rPr>
                <w:b/>
                <w:sz w:val="16"/>
              </w:rPr>
              <w:t>Delivery translation</w:t>
            </w:r>
          </w:p>
        </w:tc>
        <w:tc>
          <w:tcPr>
            <w:tcW w:type="dxa" w:w="3408"/>
            <w:shd w:fill="D9EAF7"/>
            <w:vAlign w:val="center"/>
          </w:tcPr>
          <w:p>
            <w:r>
              <w:rPr>
                <w:b/>
                <w:sz w:val="16"/>
              </w:rPr>
              <w:t>Gate</w:t>
            </w:r>
          </w:p>
        </w:tc>
      </w:tr>
      <w:tr>
        <w:tc>
          <w:tcPr>
            <w:tcW w:type="dxa" w:w="3408"/>
            <w:vAlign w:val="top"/>
          </w:tcPr>
          <w:p>
            <w:r>
              <w:rPr>
                <w:sz w:val="16"/>
              </w:rPr>
              <w:t>User value</w:t>
            </w:r>
          </w:p>
        </w:tc>
        <w:tc>
          <w:tcPr>
            <w:tcW w:type="dxa" w:w="3408"/>
            <w:vAlign w:val="top"/>
          </w:tcPr>
          <w:p>
            <w:r>
              <w:rPr>
                <w:sz w:val="16"/>
              </w:rPr>
              <w:t>The delivered experience must solve a validated relevance problem and show a meaningful benefit to the gardener.</w:t>
            </w:r>
          </w:p>
        </w:tc>
        <w:tc>
          <w:tcPr>
            <w:tcW w:type="dxa" w:w="3408"/>
            <w:vAlign w:val="top"/>
          </w:tcPr>
          <w:p>
            <w:r>
              <w:rPr>
                <w:sz w:val="16"/>
              </w:rPr>
              <w:t>Problem validation; Value proposition</w:t>
            </w:r>
          </w:p>
        </w:tc>
      </w:tr>
      <w:tr>
        <w:tc>
          <w:tcPr>
            <w:tcW w:type="dxa" w:w="3408"/>
            <w:vAlign w:val="top"/>
          </w:tcPr>
          <w:p>
            <w:r>
              <w:rPr>
                <w:sz w:val="16"/>
              </w:rPr>
              <w:t>Approved data</w:t>
            </w:r>
          </w:p>
        </w:tc>
        <w:tc>
          <w:tcPr>
            <w:tcW w:type="dxa" w:w="3408"/>
            <w:vAlign w:val="top"/>
          </w:tcPr>
          <w:p>
            <w:r>
              <w:rPr>
                <w:sz w:val="16"/>
              </w:rPr>
              <w:t>Only data explicitly approved for the capability may influence personalisation.</w:t>
            </w:r>
          </w:p>
        </w:tc>
        <w:tc>
          <w:tcPr>
            <w:tcW w:type="dxa" w:w="3408"/>
            <w:vAlign w:val="top"/>
          </w:tcPr>
          <w:p>
            <w:r>
              <w:rPr>
                <w:sz w:val="16"/>
              </w:rPr>
              <w:t>Consent and privacy; Data model</w:t>
            </w:r>
          </w:p>
        </w:tc>
      </w:tr>
      <w:tr>
        <w:tc>
          <w:tcPr>
            <w:tcW w:type="dxa" w:w="3408"/>
            <w:vAlign w:val="top"/>
          </w:tcPr>
          <w:p>
            <w:r>
              <w:rPr>
                <w:sz w:val="16"/>
              </w:rPr>
              <w:t>Signal logic</w:t>
            </w:r>
          </w:p>
        </w:tc>
        <w:tc>
          <w:tcPr>
            <w:tcW w:type="dxa" w:w="3408"/>
            <w:vAlign w:val="top"/>
          </w:tcPr>
          <w:p>
            <w:r>
              <w:rPr>
                <w:sz w:val="16"/>
              </w:rPr>
              <w:t>Approved profile, context, preference and history signals must have bounded, explainable effects.</w:t>
            </w:r>
          </w:p>
        </w:tc>
        <w:tc>
          <w:tcPr>
            <w:tcW w:type="dxa" w:w="3408"/>
            <w:vAlign w:val="top"/>
          </w:tcPr>
          <w:p>
            <w:r>
              <w:rPr>
                <w:sz w:val="16"/>
              </w:rPr>
              <w:t>Personalisation logic</w:t>
            </w:r>
          </w:p>
        </w:tc>
      </w:tr>
      <w:tr>
        <w:tc>
          <w:tcPr>
            <w:tcW w:type="dxa" w:w="3408"/>
            <w:vAlign w:val="top"/>
          </w:tcPr>
          <w:p>
            <w:r>
              <w:rPr>
                <w:sz w:val="16"/>
              </w:rPr>
              <w:t>Transparency</w:t>
            </w:r>
          </w:p>
        </w:tc>
        <w:tc>
          <w:tcPr>
            <w:tcW w:type="dxa" w:w="3408"/>
            <w:vAlign w:val="top"/>
          </w:tcPr>
          <w:p>
            <w:r>
              <w:rPr>
                <w:sz w:val="16"/>
              </w:rPr>
              <w:t>The gardener must understand when and why the experience is personalised.</w:t>
            </w:r>
          </w:p>
        </w:tc>
        <w:tc>
          <w:tcPr>
            <w:tcW w:type="dxa" w:w="3408"/>
            <w:vAlign w:val="top"/>
          </w:tcPr>
          <w:p>
            <w:r>
              <w:rPr>
                <w:sz w:val="16"/>
              </w:rPr>
              <w:t>Transparency and control</w:t>
            </w:r>
          </w:p>
        </w:tc>
      </w:tr>
      <w:tr>
        <w:tc>
          <w:tcPr>
            <w:tcW w:type="dxa" w:w="3408"/>
            <w:vAlign w:val="top"/>
          </w:tcPr>
          <w:p>
            <w:r>
              <w:rPr>
                <w:sz w:val="16"/>
              </w:rPr>
              <w:t>User control</w:t>
            </w:r>
          </w:p>
        </w:tc>
        <w:tc>
          <w:tcPr>
            <w:tcW w:type="dxa" w:w="3408"/>
            <w:vAlign w:val="top"/>
          </w:tcPr>
          <w:p>
            <w:r>
              <w:rPr>
                <w:sz w:val="16"/>
              </w:rPr>
              <w:t>The gardener must have a defined way to review, change, reset or disable personalisation where the final model requires it.</w:t>
            </w:r>
          </w:p>
        </w:tc>
        <w:tc>
          <w:tcPr>
            <w:tcW w:type="dxa" w:w="3408"/>
            <w:vAlign w:val="top"/>
          </w:tcPr>
          <w:p>
            <w:r>
              <w:rPr>
                <w:sz w:val="16"/>
              </w:rPr>
              <w:t>Transparency and control</w:t>
            </w:r>
          </w:p>
        </w:tc>
      </w:tr>
      <w:tr>
        <w:tc>
          <w:tcPr>
            <w:tcW w:type="dxa" w:w="3408"/>
            <w:vAlign w:val="top"/>
          </w:tcPr>
          <w:p>
            <w:r>
              <w:rPr>
                <w:sz w:val="16"/>
              </w:rPr>
              <w:t>Lifecycle</w:t>
            </w:r>
          </w:p>
        </w:tc>
        <w:tc>
          <w:tcPr>
            <w:tcW w:type="dxa" w:w="3408"/>
            <w:vAlign w:val="top"/>
          </w:tcPr>
          <w:p>
            <w:r>
              <w:rPr>
                <w:sz w:val="16"/>
              </w:rPr>
              <w:t>Creation, access, retention, update and deletion behaviour must be defined for personalisation data.</w:t>
            </w:r>
          </w:p>
        </w:tc>
        <w:tc>
          <w:tcPr>
            <w:tcW w:type="dxa" w:w="3408"/>
            <w:vAlign w:val="top"/>
          </w:tcPr>
          <w:p>
            <w:r>
              <w:rPr>
                <w:sz w:val="16"/>
              </w:rPr>
              <w:t>Data lifecycle</w:t>
            </w:r>
          </w:p>
        </w:tc>
      </w:tr>
      <w:tr>
        <w:tc>
          <w:tcPr>
            <w:tcW w:type="dxa" w:w="3408"/>
            <w:vAlign w:val="top"/>
          </w:tcPr>
          <w:p>
            <w:r>
              <w:rPr>
                <w:sz w:val="16"/>
              </w:rPr>
              <w:t>Acceptance criteria</w:t>
            </w:r>
          </w:p>
        </w:tc>
        <w:tc>
          <w:tcPr>
            <w:tcW w:type="dxa" w:w="3408"/>
            <w:vAlign w:val="top"/>
          </w:tcPr>
          <w:p>
            <w:r>
              <w:rPr>
                <w:sz w:val="16"/>
              </w:rPr>
              <w:t>Formal testable criteria are written only after the preceding governance and value decisions are resolved.</w:t>
            </w:r>
          </w:p>
        </w:tc>
        <w:tc>
          <w:tcPr>
            <w:tcW w:type="dxa" w:w="3408"/>
            <w:vAlign w:val="top"/>
          </w:tcPr>
          <w:p>
            <w:r>
              <w:rPr>
                <w:sz w:val="16"/>
              </w:rPr>
              <w:t>Acceptance logic</w:t>
            </w:r>
          </w:p>
        </w:tc>
      </w:tr>
    </w:tbl>
    <w:p>
      <w:pPr>
        <w:spacing w:after="20"/>
      </w:pPr>
    </w:p>
    <w:p>
      <w:pPr>
        <w:spacing w:after="80" w:line="252" w:lineRule="auto"/>
      </w:pPr>
      <w:r>
        <w:t>Formal Gherkin-style acceptance criteria are intentionally deferred. Writing them now would turn unresolved consent, privacy, data and personalisation decisions into invented delivery commitments.</w:t>
      </w:r>
    </w:p>
    <w:p>
      <w:pPr>
        <w:pStyle w:val="Heading1"/>
      </w:pPr>
      <w:r>
        <w:t>7. Non-Functional Requirement Translation</w:t>
      </w:r>
    </w:p>
    <w:p>
      <w:pPr>
        <w:spacing w:after="80" w:line="252" w:lineRule="auto"/>
      </w:pPr>
      <w:r>
        <w:t>I carry forward the Pass 2 quality themes without creating NFR IDs. The themes below are future-ready constraints, not approved production thresholds.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D9EAF7"/>
            <w:vAlign w:val="center"/>
          </w:tcPr>
          <w:p>
            <w:r>
              <w:rPr>
                <w:b/>
                <w:sz w:val="16"/>
              </w:rPr>
              <w:t>NFR theme</w:t>
            </w:r>
          </w:p>
        </w:tc>
        <w:tc>
          <w:tcPr>
            <w:tcW w:type="dxa" w:w="6552"/>
            <w:shd w:fill="D9EAF7"/>
            <w:vAlign w:val="center"/>
          </w:tcPr>
          <w:p>
            <w:r>
              <w:rPr>
                <w:b/>
                <w:sz w:val="16"/>
              </w:rPr>
              <w:t>Translation for future delivery</w:t>
            </w:r>
          </w:p>
        </w:tc>
        <w:tc>
          <w:tcPr>
            <w:tcW w:type="dxa" w:w="1512"/>
            <w:shd w:fill="D9EAF7"/>
            <w:vAlign w:val="center"/>
          </w:tcPr>
          <w:p>
            <w:r>
              <w:rPr>
                <w:b/>
                <w:sz w:val="16"/>
              </w:rPr>
              <w:t>Current state</w:t>
            </w:r>
          </w:p>
        </w:tc>
      </w:tr>
      <w:tr>
        <w:tc>
          <w:tcPr>
            <w:tcW w:type="dxa" w:w="2232"/>
            <w:vAlign w:val="top"/>
          </w:tcPr>
          <w:p>
            <w:r>
              <w:rPr>
                <w:sz w:val="16"/>
              </w:rPr>
              <w:t>Privacy and consent</w:t>
            </w:r>
          </w:p>
        </w:tc>
        <w:tc>
          <w:tcPr>
            <w:tcW w:type="dxa" w:w="6552"/>
            <w:vAlign w:val="top"/>
          </w:tcPr>
          <w:p>
            <w:r>
              <w:rPr>
                <w:sz w:val="16"/>
              </w:rPr>
              <w:t>Personalisation must use an approved purpose, permission model and handling basis.</w:t>
            </w:r>
          </w:p>
        </w:tc>
        <w:tc>
          <w:tcPr>
            <w:tcW w:type="dxa" w:w="1512"/>
            <w:vAlign w:val="top"/>
          </w:tcPr>
          <w:p>
            <w:r>
              <w:rPr>
                <w:sz w:val="16"/>
              </w:rPr>
              <w:t>Gate</w:t>
            </w:r>
          </w:p>
        </w:tc>
      </w:tr>
      <w:tr>
        <w:tc>
          <w:tcPr>
            <w:tcW w:type="dxa" w:w="2232"/>
            <w:vAlign w:val="top"/>
          </w:tcPr>
          <w:p>
            <w:r>
              <w:rPr>
                <w:sz w:val="16"/>
              </w:rPr>
              <w:t>Data minimisation</w:t>
            </w:r>
          </w:p>
        </w:tc>
        <w:tc>
          <w:tcPr>
            <w:tcW w:type="dxa" w:w="6552"/>
            <w:vAlign w:val="top"/>
          </w:tcPr>
          <w:p>
            <w:r>
              <w:rPr>
                <w:sz w:val="16"/>
              </w:rPr>
              <w:t>The capability must use the minimum data set needed to support validated value.</w:t>
            </w:r>
          </w:p>
        </w:tc>
        <w:tc>
          <w:tcPr>
            <w:tcW w:type="dxa" w:w="1512"/>
            <w:vAlign w:val="top"/>
          </w:tcPr>
          <w:p>
            <w:r>
              <w:rPr>
                <w:sz w:val="16"/>
              </w:rPr>
              <w:t>Gate</w:t>
            </w:r>
          </w:p>
        </w:tc>
      </w:tr>
      <w:tr>
        <w:tc>
          <w:tcPr>
            <w:tcW w:type="dxa" w:w="2232"/>
            <w:vAlign w:val="top"/>
          </w:tcPr>
          <w:p>
            <w:r>
              <w:rPr>
                <w:sz w:val="16"/>
              </w:rPr>
              <w:t>Transparency</w:t>
            </w:r>
          </w:p>
        </w:tc>
        <w:tc>
          <w:tcPr>
            <w:tcW w:type="dxa" w:w="6552"/>
            <w:vAlign w:val="top"/>
          </w:tcPr>
          <w:p>
            <w:r>
              <w:rPr>
                <w:sz w:val="16"/>
              </w:rPr>
              <w:t>The experience must explain when and why personalisation affects what the gardener sees.</w:t>
            </w:r>
          </w:p>
        </w:tc>
        <w:tc>
          <w:tcPr>
            <w:tcW w:type="dxa" w:w="1512"/>
            <w:vAlign w:val="top"/>
          </w:tcPr>
          <w:p>
            <w:r>
              <w:rPr>
                <w:sz w:val="16"/>
              </w:rPr>
              <w:t>Gate</w:t>
            </w:r>
          </w:p>
        </w:tc>
      </w:tr>
      <w:tr>
        <w:tc>
          <w:tcPr>
            <w:tcW w:type="dxa" w:w="2232"/>
            <w:vAlign w:val="top"/>
          </w:tcPr>
          <w:p>
            <w:r>
              <w:rPr>
                <w:sz w:val="16"/>
              </w:rPr>
              <w:t>User control</w:t>
            </w:r>
          </w:p>
        </w:tc>
        <w:tc>
          <w:tcPr>
            <w:tcW w:type="dxa" w:w="6552"/>
            <w:vAlign w:val="top"/>
          </w:tcPr>
          <w:p>
            <w:r>
              <w:rPr>
                <w:sz w:val="16"/>
              </w:rPr>
              <w:t>The experience must support defined review, change, reset or disable controls.</w:t>
            </w:r>
          </w:p>
        </w:tc>
        <w:tc>
          <w:tcPr>
            <w:tcW w:type="dxa" w:w="1512"/>
            <w:vAlign w:val="top"/>
          </w:tcPr>
          <w:p>
            <w:r>
              <w:rPr>
                <w:sz w:val="16"/>
              </w:rPr>
              <w:t>Gate</w:t>
            </w:r>
          </w:p>
        </w:tc>
      </w:tr>
      <w:tr>
        <w:tc>
          <w:tcPr>
            <w:tcW w:type="dxa" w:w="2232"/>
            <w:vAlign w:val="top"/>
          </w:tcPr>
          <w:p>
            <w:r>
              <w:rPr>
                <w:sz w:val="16"/>
              </w:rPr>
              <w:t>Security</w:t>
            </w:r>
          </w:p>
        </w:tc>
        <w:tc>
          <w:tcPr>
            <w:tcW w:type="dxa" w:w="6552"/>
            <w:vAlign w:val="top"/>
          </w:tcPr>
          <w:p>
            <w:r>
              <w:rPr>
                <w:sz w:val="16"/>
              </w:rPr>
              <w:t>Profile and history data require controlled access and protection.</w:t>
            </w:r>
          </w:p>
        </w:tc>
        <w:tc>
          <w:tcPr>
            <w:tcW w:type="dxa" w:w="1512"/>
            <w:vAlign w:val="top"/>
          </w:tcPr>
          <w:p>
            <w:r>
              <w:rPr>
                <w:sz w:val="16"/>
              </w:rPr>
              <w:t>Discovery theme</w:t>
            </w:r>
          </w:p>
        </w:tc>
      </w:tr>
      <w:tr>
        <w:tc>
          <w:tcPr>
            <w:tcW w:type="dxa" w:w="2232"/>
            <w:vAlign w:val="top"/>
          </w:tcPr>
          <w:p>
            <w:r>
              <w:rPr>
                <w:sz w:val="16"/>
              </w:rPr>
              <w:t>Accuracy and relevance</w:t>
            </w:r>
          </w:p>
        </w:tc>
        <w:tc>
          <w:tcPr>
            <w:tcW w:type="dxa" w:w="6552"/>
            <w:vAlign w:val="top"/>
          </w:tcPr>
          <w:p>
            <w:r>
              <w:rPr>
                <w:sz w:val="16"/>
              </w:rPr>
              <w:t>Incorrect or stale profile or preference data must not silently undermine relevance.</w:t>
            </w:r>
          </w:p>
        </w:tc>
        <w:tc>
          <w:tcPr>
            <w:tcW w:type="dxa" w:w="1512"/>
            <w:vAlign w:val="top"/>
          </w:tcPr>
          <w:p>
            <w:r>
              <w:rPr>
                <w:sz w:val="16"/>
              </w:rPr>
              <w:t>Discovery theme</w:t>
            </w:r>
          </w:p>
        </w:tc>
      </w:tr>
      <w:tr>
        <w:tc>
          <w:tcPr>
            <w:tcW w:type="dxa" w:w="2232"/>
            <w:vAlign w:val="top"/>
          </w:tcPr>
          <w:p>
            <w:r>
              <w:rPr>
                <w:sz w:val="16"/>
              </w:rPr>
              <w:t>Consistency</w:t>
            </w:r>
          </w:p>
        </w:tc>
        <w:tc>
          <w:tcPr>
            <w:tcW w:type="dxa" w:w="6552"/>
            <w:vAlign w:val="top"/>
          </w:tcPr>
          <w:p>
            <w:r>
              <w:rPr>
                <w:sz w:val="16"/>
              </w:rPr>
              <w:t>Personalisation should behave predictably across supported experiences.</w:t>
            </w:r>
          </w:p>
        </w:tc>
        <w:tc>
          <w:tcPr>
            <w:tcW w:type="dxa" w:w="1512"/>
            <w:vAlign w:val="top"/>
          </w:tcPr>
          <w:p>
            <w:r>
              <w:rPr>
                <w:sz w:val="16"/>
              </w:rPr>
              <w:t>Discovery theme</w:t>
            </w:r>
          </w:p>
        </w:tc>
      </w:tr>
      <w:tr>
        <w:tc>
          <w:tcPr>
            <w:tcW w:type="dxa" w:w="2232"/>
            <w:vAlign w:val="top"/>
          </w:tcPr>
          <w:p>
            <w:r>
              <w:rPr>
                <w:sz w:val="16"/>
              </w:rPr>
              <w:t>Availability</w:t>
            </w:r>
          </w:p>
        </w:tc>
        <w:tc>
          <w:tcPr>
            <w:tcW w:type="dxa" w:w="6552"/>
            <w:vAlign w:val="top"/>
          </w:tcPr>
          <w:p>
            <w:r>
              <w:rPr>
                <w:sz w:val="16"/>
              </w:rPr>
              <w:t>The experience needs defined fallback behaviour when relevant profile data are unavailable.</w:t>
            </w:r>
          </w:p>
        </w:tc>
        <w:tc>
          <w:tcPr>
            <w:tcW w:type="dxa" w:w="1512"/>
            <w:vAlign w:val="top"/>
          </w:tcPr>
          <w:p>
            <w:r>
              <w:rPr>
                <w:sz w:val="16"/>
              </w:rPr>
              <w:t>Discovery theme</w:t>
            </w:r>
          </w:p>
        </w:tc>
      </w:tr>
      <w:tr>
        <w:tc>
          <w:tcPr>
            <w:tcW w:type="dxa" w:w="2232"/>
            <w:vAlign w:val="top"/>
          </w:tcPr>
          <w:p>
            <w:r>
              <w:rPr>
                <w:sz w:val="16"/>
              </w:rPr>
              <w:t>Observability</w:t>
            </w:r>
          </w:p>
        </w:tc>
        <w:tc>
          <w:tcPr>
            <w:tcW w:type="dxa" w:w="6552"/>
            <w:vAlign w:val="top"/>
          </w:tcPr>
          <w:p>
            <w:r>
              <w:rPr>
                <w:sz w:val="16"/>
              </w:rPr>
              <w:t>Usage and usefulness should be measurable after real delivery without over-collecting data.</w:t>
            </w:r>
          </w:p>
        </w:tc>
        <w:tc>
          <w:tcPr>
            <w:tcW w:type="dxa" w:w="1512"/>
            <w:vAlign w:val="top"/>
          </w:tcPr>
          <w:p>
            <w:r>
              <w:rPr>
                <w:sz w:val="16"/>
              </w:rPr>
              <w:t>Future delivery theme</w:t>
            </w:r>
          </w:p>
        </w:tc>
      </w:tr>
    </w:tbl>
    <w:p>
      <w:pPr>
        <w:spacing w:after="20"/>
      </w:pPr>
    </w:p>
    <w:p>
      <w:pPr>
        <w:pStyle w:val="Heading1"/>
      </w:pPr>
      <w:r>
        <w:t>8. Data and Privacy Translation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Area</w:t>
            </w:r>
          </w:p>
        </w:tc>
        <w:tc>
          <w:tcPr>
            <w:tcW w:type="dxa" w:w="3408"/>
            <w:shd w:fill="D9EAF7"/>
            <w:vAlign w:val="center"/>
          </w:tcPr>
          <w:p>
            <w:r>
              <w:rPr>
                <w:b/>
                <w:sz w:val="16"/>
              </w:rPr>
              <w:t>Translation</w:t>
            </w:r>
          </w:p>
        </w:tc>
        <w:tc>
          <w:tcPr>
            <w:tcW w:type="dxa" w:w="3408"/>
            <w:shd w:fill="D9EAF7"/>
            <w:vAlign w:val="center"/>
          </w:tcPr>
          <w:p>
            <w:r>
              <w:rPr>
                <w:b/>
                <w:sz w:val="16"/>
              </w:rPr>
              <w:t>Current decision</w:t>
            </w:r>
          </w:p>
        </w:tc>
      </w:tr>
      <w:tr>
        <w:tc>
          <w:tcPr>
            <w:tcW w:type="dxa" w:w="3408"/>
            <w:vAlign w:val="top"/>
          </w:tcPr>
          <w:p>
            <w:r>
              <w:rPr>
                <w:sz w:val="16"/>
              </w:rPr>
              <w:t>Profile data</w:t>
            </w:r>
          </w:p>
        </w:tc>
        <w:tc>
          <w:tcPr>
            <w:tcW w:type="dxa" w:w="3408"/>
            <w:vAlign w:val="top"/>
          </w:tcPr>
          <w:p>
            <w:r>
              <w:rPr>
                <w:sz w:val="16"/>
              </w:rPr>
              <w:t>Separate necessary, optional and prohibited attributes before implementation.</w:t>
            </w:r>
          </w:p>
        </w:tc>
        <w:tc>
          <w:tcPr>
            <w:tcW w:type="dxa" w:w="3408"/>
            <w:vAlign w:val="top"/>
          </w:tcPr>
          <w:p>
            <w:r>
              <w:rPr>
                <w:sz w:val="16"/>
              </w:rPr>
              <w:t>Open</w:t>
            </w:r>
          </w:p>
        </w:tc>
      </w:tr>
      <w:tr>
        <w:tc>
          <w:tcPr>
            <w:tcW w:type="dxa" w:w="3408"/>
            <w:vAlign w:val="top"/>
          </w:tcPr>
          <w:p>
            <w:r>
              <w:rPr>
                <w:sz w:val="16"/>
              </w:rPr>
              <w:t>Garden context</w:t>
            </w:r>
          </w:p>
        </w:tc>
        <w:tc>
          <w:tcPr>
            <w:tcW w:type="dxa" w:w="3408"/>
            <w:vAlign w:val="top"/>
          </w:tcPr>
          <w:p>
            <w:r>
              <w:rPr>
                <w:sz w:val="16"/>
              </w:rPr>
              <w:t>Identify only context fields that demonstrate measurable relevance.</w:t>
            </w:r>
          </w:p>
        </w:tc>
        <w:tc>
          <w:tcPr>
            <w:tcW w:type="dxa" w:w="3408"/>
            <w:vAlign w:val="top"/>
          </w:tcPr>
          <w:p>
            <w:r>
              <w:rPr>
                <w:sz w:val="16"/>
              </w:rPr>
              <w:t>Open</w:t>
            </w:r>
          </w:p>
        </w:tc>
      </w:tr>
      <w:tr>
        <w:tc>
          <w:tcPr>
            <w:tcW w:type="dxa" w:w="3408"/>
            <w:vAlign w:val="top"/>
          </w:tcPr>
          <w:p>
            <w:r>
              <w:rPr>
                <w:sz w:val="16"/>
              </w:rPr>
              <w:t>Preference data</w:t>
            </w:r>
          </w:p>
        </w:tc>
        <w:tc>
          <w:tcPr>
            <w:tcW w:type="dxa" w:w="3408"/>
            <w:vAlign w:val="top"/>
          </w:tcPr>
          <w:p>
            <w:r>
              <w:rPr>
                <w:sz w:val="16"/>
              </w:rPr>
              <w:t>Prefer explicit user-provided preferences over unapproved inference.</w:t>
            </w:r>
          </w:p>
        </w:tc>
        <w:tc>
          <w:tcPr>
            <w:tcW w:type="dxa" w:w="3408"/>
            <w:vAlign w:val="top"/>
          </w:tcPr>
          <w:p>
            <w:r>
              <w:rPr>
                <w:sz w:val="16"/>
              </w:rPr>
              <w:t>Open</w:t>
            </w:r>
          </w:p>
        </w:tc>
      </w:tr>
      <w:tr>
        <w:tc>
          <w:tcPr>
            <w:tcW w:type="dxa" w:w="3408"/>
            <w:vAlign w:val="top"/>
          </w:tcPr>
          <w:p>
            <w:r>
              <w:rPr>
                <w:sz w:val="16"/>
              </w:rPr>
              <w:t>History data</w:t>
            </w:r>
          </w:p>
        </w:tc>
        <w:tc>
          <w:tcPr>
            <w:tcW w:type="dxa" w:w="3408"/>
            <w:vAlign w:val="top"/>
          </w:tcPr>
          <w:p>
            <w:r>
              <w:rPr>
                <w:sz w:val="16"/>
              </w:rPr>
              <w:t>Define which historical actions are useful and the justified retention period.</w:t>
            </w:r>
          </w:p>
        </w:tc>
        <w:tc>
          <w:tcPr>
            <w:tcW w:type="dxa" w:w="3408"/>
            <w:vAlign w:val="top"/>
          </w:tcPr>
          <w:p>
            <w:r>
              <w:rPr>
                <w:sz w:val="16"/>
              </w:rPr>
              <w:t>Open</w:t>
            </w:r>
          </w:p>
        </w:tc>
      </w:tr>
      <w:tr>
        <w:tc>
          <w:tcPr>
            <w:tcW w:type="dxa" w:w="3408"/>
            <w:vAlign w:val="top"/>
          </w:tcPr>
          <w:p>
            <w:r>
              <w:rPr>
                <w:sz w:val="16"/>
              </w:rPr>
              <w:t>Consent and purpose</w:t>
            </w:r>
          </w:p>
        </w:tc>
        <w:tc>
          <w:tcPr>
            <w:tcW w:type="dxa" w:w="3408"/>
            <w:vAlign w:val="top"/>
          </w:tcPr>
          <w:p>
            <w:r>
              <w:rPr>
                <w:sz w:val="16"/>
              </w:rPr>
              <w:t>Define permission and communicate the purpose for each personal-data category.</w:t>
            </w:r>
          </w:p>
        </w:tc>
        <w:tc>
          <w:tcPr>
            <w:tcW w:type="dxa" w:w="3408"/>
            <w:vAlign w:val="top"/>
          </w:tcPr>
          <w:p>
            <w:r>
              <w:rPr>
                <w:sz w:val="16"/>
              </w:rPr>
              <w:t>Open</w:t>
            </w:r>
          </w:p>
        </w:tc>
      </w:tr>
      <w:tr>
        <w:tc>
          <w:tcPr>
            <w:tcW w:type="dxa" w:w="3408"/>
            <w:vAlign w:val="top"/>
          </w:tcPr>
          <w:p>
            <w:r>
              <w:rPr>
                <w:sz w:val="16"/>
              </w:rPr>
              <w:t>Access and security</w:t>
            </w:r>
          </w:p>
        </w:tc>
        <w:tc>
          <w:tcPr>
            <w:tcW w:type="dxa" w:w="3408"/>
            <w:vAlign w:val="top"/>
          </w:tcPr>
          <w:p>
            <w:r>
              <w:rPr>
                <w:sz w:val="16"/>
              </w:rPr>
              <w:t>Define who or what services may access personalisation data.</w:t>
            </w:r>
          </w:p>
        </w:tc>
        <w:tc>
          <w:tcPr>
            <w:tcW w:type="dxa" w:w="3408"/>
            <w:vAlign w:val="top"/>
          </w:tcPr>
          <w:p>
            <w:r>
              <w:rPr>
                <w:sz w:val="16"/>
              </w:rPr>
              <w:t>Open</w:t>
            </w:r>
          </w:p>
        </w:tc>
      </w:tr>
      <w:tr>
        <w:tc>
          <w:tcPr>
            <w:tcW w:type="dxa" w:w="3408"/>
            <w:vAlign w:val="top"/>
          </w:tcPr>
          <w:p>
            <w:r>
              <w:rPr>
                <w:sz w:val="16"/>
              </w:rPr>
              <w:t>Lifecycle</w:t>
            </w:r>
          </w:p>
        </w:tc>
        <w:tc>
          <w:tcPr>
            <w:tcW w:type="dxa" w:w="3408"/>
            <w:vAlign w:val="top"/>
          </w:tcPr>
          <w:p>
            <w:r>
              <w:rPr>
                <w:sz w:val="16"/>
              </w:rPr>
              <w:t>Define creation, change, retention, deletion and retirement behaviour.</w:t>
            </w:r>
          </w:p>
        </w:tc>
        <w:tc>
          <w:tcPr>
            <w:tcW w:type="dxa" w:w="3408"/>
            <w:vAlign w:val="top"/>
          </w:tcPr>
          <w:p>
            <w:r>
              <w:rPr>
                <w:sz w:val="16"/>
              </w:rPr>
              <w:t>Open</w:t>
            </w:r>
          </w:p>
        </w:tc>
      </w:tr>
      <w:tr>
        <w:tc>
          <w:tcPr>
            <w:tcW w:type="dxa" w:w="3408"/>
            <w:vAlign w:val="top"/>
          </w:tcPr>
          <w:p>
            <w:r>
              <w:rPr>
                <w:sz w:val="16"/>
              </w:rPr>
              <w:t>Analytics</w:t>
            </w:r>
          </w:p>
        </w:tc>
        <w:tc>
          <w:tcPr>
            <w:tcW w:type="dxa" w:w="3408"/>
            <w:vAlign w:val="top"/>
          </w:tcPr>
          <w:p>
            <w:r>
              <w:rPr>
                <w:sz w:val="16"/>
              </w:rPr>
              <w:t>Define signals that demonstrate usefulness while avoiding unnecessary data collection.</w:t>
            </w:r>
          </w:p>
        </w:tc>
        <w:tc>
          <w:tcPr>
            <w:tcW w:type="dxa" w:w="3408"/>
            <w:vAlign w:val="top"/>
          </w:tcPr>
          <w:p>
            <w:r>
              <w:rPr>
                <w:sz w:val="16"/>
              </w:rPr>
              <w:t>Future delivery theme</w:t>
            </w:r>
          </w:p>
        </w:tc>
      </w:tr>
    </w:tbl>
    <w:p>
      <w:pPr>
        <w:spacing w:after="20"/>
      </w:pPr>
    </w:p>
    <w:p>
      <w:pPr>
        <w:pStyle w:val="Heading1"/>
      </w:pPr>
      <w:r>
        <w:t>9. Governance and Dependency Translation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Role / dependency</w:t>
            </w:r>
          </w:p>
        </w:tc>
        <w:tc>
          <w:tcPr>
            <w:tcW w:type="dxa" w:w="3408"/>
            <w:shd w:fill="D9EAF7"/>
            <w:vAlign w:val="center"/>
          </w:tcPr>
          <w:p>
            <w:r>
              <w:rPr>
                <w:b/>
                <w:sz w:val="16"/>
              </w:rPr>
              <w:t>F05 translation</w:t>
            </w:r>
          </w:p>
        </w:tc>
        <w:tc>
          <w:tcPr>
            <w:tcW w:type="dxa" w:w="3408"/>
            <w:shd w:fill="D9EAF7"/>
            <w:vAlign w:val="center"/>
          </w:tcPr>
          <w:p>
            <w:r>
              <w:rPr>
                <w:b/>
                <w:sz w:val="16"/>
              </w:rPr>
              <w:t>Current position</w:t>
            </w:r>
          </w:p>
        </w:tc>
      </w:tr>
      <w:tr>
        <w:tc>
          <w:tcPr>
            <w:tcW w:type="dxa" w:w="3408"/>
            <w:vAlign w:val="top"/>
          </w:tcPr>
          <w:p>
            <w:r>
              <w:rPr>
                <w:sz w:val="16"/>
              </w:rPr>
              <w:t>Gardener</w:t>
            </w:r>
          </w:p>
        </w:tc>
        <w:tc>
          <w:tcPr>
            <w:tcW w:type="dxa" w:w="3408"/>
            <w:vAlign w:val="top"/>
          </w:tcPr>
          <w:p>
            <w:r>
              <w:rPr>
                <w:sz w:val="16"/>
              </w:rPr>
              <w:t>Primary persona providing preferences, context and relevance feedback.</w:t>
            </w:r>
          </w:p>
        </w:tc>
        <w:tc>
          <w:tcPr>
            <w:tcW w:type="dxa" w:w="3408"/>
            <w:vAlign w:val="top"/>
          </w:tcPr>
          <w:p>
            <w:r>
              <w:rPr>
                <w:sz w:val="16"/>
              </w:rPr>
              <w:t>Present</w:t>
            </w:r>
          </w:p>
        </w:tc>
      </w:tr>
      <w:tr>
        <w:tc>
          <w:tcPr>
            <w:tcW w:type="dxa" w:w="3408"/>
            <w:vAlign w:val="top"/>
          </w:tcPr>
          <w:p>
            <w:r>
              <w:rPr>
                <w:sz w:val="16"/>
              </w:rPr>
              <w:t>Product Owner / GreenSphere</w:t>
            </w:r>
          </w:p>
        </w:tc>
        <w:tc>
          <w:tcPr>
            <w:tcW w:type="dxa" w:w="3408"/>
            <w:vAlign w:val="top"/>
          </w:tcPr>
          <w:p>
            <w:r>
              <w:rPr>
                <w:sz w:val="16"/>
              </w:rPr>
              <w:t>Confirms value, scope, priority and eventual acceptance.</w:t>
            </w:r>
          </w:p>
        </w:tc>
        <w:tc>
          <w:tcPr>
            <w:tcW w:type="dxa" w:w="3408"/>
            <w:vAlign w:val="top"/>
          </w:tcPr>
          <w:p>
            <w:r>
              <w:rPr>
                <w:sz w:val="16"/>
              </w:rPr>
              <w:t>Governance role</w:t>
            </w:r>
          </w:p>
        </w:tc>
      </w:tr>
      <w:tr>
        <w:tc>
          <w:tcPr>
            <w:tcW w:type="dxa" w:w="3408"/>
            <w:vAlign w:val="top"/>
          </w:tcPr>
          <w:p>
            <w:r>
              <w:rPr>
                <w:sz w:val="16"/>
              </w:rPr>
              <w:t>Privacy / Data Governance expertise</w:t>
            </w:r>
          </w:p>
        </w:tc>
        <w:tc>
          <w:tcPr>
            <w:tcW w:type="dxa" w:w="3408"/>
            <w:vAlign w:val="top"/>
          </w:tcPr>
          <w:p>
            <w:r>
              <w:rPr>
                <w:sz w:val="16"/>
              </w:rPr>
              <w:t>May validate lawful, proportionate and transparent data use.</w:t>
            </w:r>
          </w:p>
        </w:tc>
        <w:tc>
          <w:tcPr>
            <w:tcW w:type="dxa" w:w="3408"/>
            <w:vAlign w:val="top"/>
          </w:tcPr>
          <w:p>
            <w:r>
              <w:rPr>
                <w:sz w:val="16"/>
              </w:rPr>
              <w:t>Open governance question</w:t>
            </w:r>
          </w:p>
        </w:tc>
      </w:tr>
      <w:tr>
        <w:tc>
          <w:tcPr>
            <w:tcW w:type="dxa" w:w="3408"/>
            <w:vAlign w:val="top"/>
          </w:tcPr>
          <w:p>
            <w:r>
              <w:rPr>
                <w:sz w:val="16"/>
              </w:rPr>
              <w:t>Data / Platform / Technical</w:t>
            </w:r>
          </w:p>
        </w:tc>
        <w:tc>
          <w:tcPr>
            <w:tcW w:type="dxa" w:w="3408"/>
            <w:vAlign w:val="top"/>
          </w:tcPr>
          <w:p>
            <w:r>
              <w:rPr>
                <w:sz w:val="16"/>
              </w:rPr>
              <w:t>Supports profile data, storage, access, integration and operational feasibility.</w:t>
            </w:r>
          </w:p>
        </w:tc>
        <w:tc>
          <w:tcPr>
            <w:tcW w:type="dxa" w:w="3408"/>
            <w:vAlign w:val="top"/>
          </w:tcPr>
          <w:p>
            <w:r>
              <w:rPr>
                <w:sz w:val="16"/>
              </w:rPr>
              <w:t>Delivery dependency; ownership TBD</w:t>
            </w:r>
          </w:p>
        </w:tc>
      </w:tr>
      <w:tr>
        <w:tc>
          <w:tcPr>
            <w:tcW w:type="dxa" w:w="3408"/>
            <w:vAlign w:val="top"/>
          </w:tcPr>
          <w:p>
            <w:r>
              <w:rPr>
                <w:sz w:val="16"/>
              </w:rPr>
              <w:t>UX / Content expertise</w:t>
            </w:r>
          </w:p>
        </w:tc>
        <w:tc>
          <w:tcPr>
            <w:tcW w:type="dxa" w:w="3408"/>
            <w:vAlign w:val="top"/>
          </w:tcPr>
          <w:p>
            <w:r>
              <w:rPr>
                <w:sz w:val="16"/>
              </w:rPr>
              <w:t>May shape transparent controls and relevant personalisation presentation.</w:t>
            </w:r>
          </w:p>
        </w:tc>
        <w:tc>
          <w:tcPr>
            <w:tcW w:type="dxa" w:w="3408"/>
            <w:vAlign w:val="top"/>
          </w:tcPr>
          <w:p>
            <w:r>
              <w:rPr>
                <w:sz w:val="16"/>
              </w:rPr>
              <w:t>Open governance question</w:t>
            </w:r>
          </w:p>
        </w:tc>
      </w:tr>
    </w:tbl>
    <w:p>
      <w:pPr>
        <w:spacing w:after="20"/>
      </w:pPr>
    </w:p>
    <w:p>
      <w:pPr>
        <w:spacing w:after="80" w:line="252" w:lineRule="auto"/>
      </w:pPr>
      <w:r>
        <w:t>I keep F05 governance distinct from F01 content authority, F02 weather, F03 plant health and F04 regional content. No new stakeholder is added to the MVP register through this translation.</w:t>
      </w:r>
    </w:p>
    <w:p>
      <w:pPr>
        <w:pStyle w:val="Heading1"/>
      </w:pPr>
      <w:r>
        <w:t>10. Nine-Gate Progression Integrity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Gate</w:t>
            </w:r>
          </w:p>
        </w:tc>
        <w:tc>
          <w:tcPr>
            <w:tcW w:type="dxa" w:w="5112"/>
            <w:shd w:fill="D9EAF7"/>
            <w:vAlign w:val="center"/>
          </w:tcPr>
          <w:p>
            <w:r>
              <w:rPr>
                <w:b/>
                <w:sz w:val="16"/>
              </w:rPr>
              <w:t>Pass 3 position</w:t>
            </w:r>
          </w:p>
        </w:tc>
      </w:tr>
      <w:tr>
        <w:tc>
          <w:tcPr>
            <w:tcW w:type="dxa" w:w="5112"/>
            <w:vAlign w:val="top"/>
          </w:tcPr>
          <w:p>
            <w:r>
              <w:rPr>
                <w:sz w:val="16"/>
              </w:rPr>
              <w:t>1. Problem validation</w:t>
            </w:r>
          </w:p>
        </w:tc>
        <w:tc>
          <w:tcPr>
            <w:tcW w:type="dxa" w:w="5112"/>
            <w:vAlign w:val="top"/>
          </w:tcPr>
          <w:p>
            <w:r>
              <w:rPr>
                <w:sz w:val="16"/>
              </w:rPr>
              <w:t>Open</w:t>
            </w:r>
          </w:p>
        </w:tc>
      </w:tr>
      <w:tr>
        <w:tc>
          <w:tcPr>
            <w:tcW w:type="dxa" w:w="5112"/>
            <w:vAlign w:val="top"/>
          </w:tcPr>
          <w:p>
            <w:r>
              <w:rPr>
                <w:sz w:val="16"/>
              </w:rPr>
              <w:t>2. Value proposition</w:t>
            </w:r>
          </w:p>
        </w:tc>
        <w:tc>
          <w:tcPr>
            <w:tcW w:type="dxa" w:w="5112"/>
            <w:vAlign w:val="top"/>
          </w:tcPr>
          <w:p>
            <w:r>
              <w:rPr>
                <w:sz w:val="16"/>
              </w:rPr>
              <w:t>Open</w:t>
            </w:r>
          </w:p>
        </w:tc>
      </w:tr>
      <w:tr>
        <w:tc>
          <w:tcPr>
            <w:tcW w:type="dxa" w:w="5112"/>
            <w:vAlign w:val="top"/>
          </w:tcPr>
          <w:p>
            <w:r>
              <w:rPr>
                <w:sz w:val="16"/>
              </w:rPr>
              <w:t>3. Consent and privacy</w:t>
            </w:r>
          </w:p>
        </w:tc>
        <w:tc>
          <w:tcPr>
            <w:tcW w:type="dxa" w:w="5112"/>
            <w:vAlign w:val="top"/>
          </w:tcPr>
          <w:p>
            <w:r>
              <w:rPr>
                <w:sz w:val="16"/>
              </w:rPr>
              <w:t>Open</w:t>
            </w:r>
          </w:p>
        </w:tc>
      </w:tr>
      <w:tr>
        <w:tc>
          <w:tcPr>
            <w:tcW w:type="dxa" w:w="5112"/>
            <w:vAlign w:val="top"/>
          </w:tcPr>
          <w:p>
            <w:r>
              <w:rPr>
                <w:sz w:val="16"/>
              </w:rPr>
              <w:t>4. Data model</w:t>
            </w:r>
          </w:p>
        </w:tc>
        <w:tc>
          <w:tcPr>
            <w:tcW w:type="dxa" w:w="5112"/>
            <w:vAlign w:val="top"/>
          </w:tcPr>
          <w:p>
            <w:r>
              <w:rPr>
                <w:sz w:val="16"/>
              </w:rPr>
              <w:t>Open</w:t>
            </w:r>
          </w:p>
        </w:tc>
      </w:tr>
      <w:tr>
        <w:tc>
          <w:tcPr>
            <w:tcW w:type="dxa" w:w="5112"/>
            <w:vAlign w:val="top"/>
          </w:tcPr>
          <w:p>
            <w:r>
              <w:rPr>
                <w:sz w:val="16"/>
              </w:rPr>
              <w:t>5. Personalisation logic</w:t>
            </w:r>
          </w:p>
        </w:tc>
        <w:tc>
          <w:tcPr>
            <w:tcW w:type="dxa" w:w="5112"/>
            <w:vAlign w:val="top"/>
          </w:tcPr>
          <w:p>
            <w:r>
              <w:rPr>
                <w:sz w:val="16"/>
              </w:rPr>
              <w:t>Open</w:t>
            </w:r>
          </w:p>
        </w:tc>
      </w:tr>
      <w:tr>
        <w:tc>
          <w:tcPr>
            <w:tcW w:type="dxa" w:w="5112"/>
            <w:vAlign w:val="top"/>
          </w:tcPr>
          <w:p>
            <w:r>
              <w:rPr>
                <w:sz w:val="16"/>
              </w:rPr>
              <w:t>6. Transparency and control</w:t>
            </w:r>
          </w:p>
        </w:tc>
        <w:tc>
          <w:tcPr>
            <w:tcW w:type="dxa" w:w="5112"/>
            <w:vAlign w:val="top"/>
          </w:tcPr>
          <w:p>
            <w:r>
              <w:rPr>
                <w:sz w:val="16"/>
              </w:rPr>
              <w:t>Open</w:t>
            </w:r>
          </w:p>
        </w:tc>
      </w:tr>
      <w:tr>
        <w:tc>
          <w:tcPr>
            <w:tcW w:type="dxa" w:w="5112"/>
            <w:vAlign w:val="top"/>
          </w:tcPr>
          <w:p>
            <w:r>
              <w:rPr>
                <w:sz w:val="16"/>
              </w:rPr>
              <w:t>7. Data lifecycle</w:t>
            </w:r>
          </w:p>
        </w:tc>
        <w:tc>
          <w:tcPr>
            <w:tcW w:type="dxa" w:w="5112"/>
            <w:vAlign w:val="top"/>
          </w:tcPr>
          <w:p>
            <w:r>
              <w:rPr>
                <w:sz w:val="16"/>
              </w:rPr>
              <w:t>Open</w:t>
            </w:r>
          </w:p>
        </w:tc>
      </w:tr>
      <w:tr>
        <w:tc>
          <w:tcPr>
            <w:tcW w:type="dxa" w:w="5112"/>
            <w:vAlign w:val="top"/>
          </w:tcPr>
          <w:p>
            <w:r>
              <w:rPr>
                <w:sz w:val="16"/>
              </w:rPr>
              <w:t>8. Acceptance logic</w:t>
            </w:r>
          </w:p>
        </w:tc>
        <w:tc>
          <w:tcPr>
            <w:tcW w:type="dxa" w:w="5112"/>
            <w:vAlign w:val="top"/>
          </w:tcPr>
          <w:p>
            <w:r>
              <w:rPr>
                <w:sz w:val="16"/>
              </w:rPr>
              <w:t>Blocked until gates 1 to 7 are sufficiently resolved</w:t>
            </w:r>
          </w:p>
        </w:tc>
      </w:tr>
      <w:tr>
        <w:tc>
          <w:tcPr>
            <w:tcW w:type="dxa" w:w="5112"/>
            <w:vAlign w:val="top"/>
          </w:tcPr>
          <w:p>
            <w:r>
              <w:rPr>
                <w:sz w:val="16"/>
              </w:rPr>
              <w:t>9. Value and priority</w:t>
            </w:r>
          </w:p>
        </w:tc>
        <w:tc>
          <w:tcPr>
            <w:tcW w:type="dxa" w:w="5112"/>
            <w:vAlign w:val="top"/>
          </w:tcPr>
          <w:p>
            <w:r>
              <w:rPr>
                <w:sz w:val="16"/>
              </w:rPr>
              <w:t>Decision required after the preceding evidence is established</w:t>
            </w:r>
          </w:p>
        </w:tc>
      </w:tr>
    </w:tbl>
    <w:p>
      <w:pPr>
        <w:spacing w:after="20"/>
      </w:pPr>
    </w:p>
    <w:p>
      <w:pPr>
        <w:spacing w:after="80" w:line="252" w:lineRule="auto"/>
      </w:pPr>
      <w:r>
        <w:t>The nine gates remain exactly the Pass 2 progression model. They are not being collapsed into a generic template or expanded with additional unapproved gates.</w:t>
      </w:r>
    </w:p>
    <w:p>
      <w:pPr>
        <w:pStyle w:val="Heading1"/>
      </w:pPr>
      <w:r>
        <w:t>11. Jira Translation Readiness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sz w:val="16"/>
              </w:rPr>
              <w:t>Artifact</w:t>
            </w:r>
          </w:p>
        </w:tc>
        <w:tc>
          <w:tcPr>
            <w:tcW w:type="dxa" w:w="3408"/>
            <w:shd w:fill="D9EAF7"/>
            <w:vAlign w:val="center"/>
          </w:tcPr>
          <w:p>
            <w:r>
              <w:rPr>
                <w:b/>
                <w:sz w:val="16"/>
              </w:rPr>
              <w:t>Prepared form</w:t>
            </w:r>
          </w:p>
        </w:tc>
        <w:tc>
          <w:tcPr>
            <w:tcW w:type="dxa" w:w="3408"/>
            <w:shd w:fill="D9EAF7"/>
            <w:vAlign w:val="center"/>
          </w:tcPr>
          <w:p>
            <w:r>
              <w:rPr>
                <w:b/>
                <w:sz w:val="16"/>
              </w:rPr>
              <w:t>Jira action now?</w:t>
            </w:r>
          </w:p>
        </w:tc>
      </w:tr>
      <w:tr>
        <w:tc>
          <w:tcPr>
            <w:tcW w:type="dxa" w:w="3408"/>
            <w:vAlign w:val="top"/>
          </w:tcPr>
          <w:p>
            <w:r>
              <w:rPr>
                <w:sz w:val="16"/>
              </w:rPr>
              <w:t>EPIC-F05 definition</w:t>
            </w:r>
          </w:p>
        </w:tc>
        <w:tc>
          <w:tcPr>
            <w:tcW w:type="dxa" w:w="3408"/>
            <w:vAlign w:val="top"/>
          </w:tcPr>
          <w:p>
            <w:r>
              <w:rPr>
                <w:sz w:val="16"/>
              </w:rPr>
              <w:t>Available as a future-state discovery structure</w:t>
            </w:r>
          </w:p>
        </w:tc>
        <w:tc>
          <w:tcPr>
            <w:tcW w:type="dxa" w:w="3408"/>
            <w:vAlign w:val="top"/>
          </w:tcPr>
          <w:p>
            <w:r>
              <w:rPr>
                <w:sz w:val="16"/>
              </w:rPr>
              <w:t>No</w:t>
            </w:r>
          </w:p>
        </w:tc>
      </w:tr>
      <w:tr>
        <w:tc>
          <w:tcPr>
            <w:tcW w:type="dxa" w:w="3408"/>
            <w:vAlign w:val="top"/>
          </w:tcPr>
          <w:p>
            <w:r>
              <w:rPr>
                <w:sz w:val="16"/>
              </w:rPr>
              <w:t>F05.1 to F05.4 feature definitions</w:t>
            </w:r>
          </w:p>
        </w:tc>
        <w:tc>
          <w:tcPr>
            <w:tcW w:type="dxa" w:w="3408"/>
            <w:vAlign w:val="top"/>
          </w:tcPr>
          <w:p>
            <w:r>
              <w:rPr>
                <w:sz w:val="16"/>
              </w:rPr>
              <w:t>Controlled translation available</w:t>
            </w:r>
          </w:p>
        </w:tc>
        <w:tc>
          <w:tcPr>
            <w:tcW w:type="dxa" w:w="3408"/>
            <w:vAlign w:val="top"/>
          </w:tcPr>
          <w:p>
            <w:r>
              <w:rPr>
                <w:sz w:val="16"/>
              </w:rPr>
              <w:t>No</w:t>
            </w:r>
          </w:p>
        </w:tc>
      </w:tr>
      <w:tr>
        <w:tc>
          <w:tcPr>
            <w:tcW w:type="dxa" w:w="3408"/>
            <w:vAlign w:val="top"/>
          </w:tcPr>
          <w:p>
            <w:r>
              <w:rPr>
                <w:sz w:val="16"/>
              </w:rPr>
              <w:t>Future requirement IDs</w:t>
            </w:r>
          </w:p>
        </w:tc>
        <w:tc>
          <w:tcPr>
            <w:tcW w:type="dxa" w:w="3408"/>
            <w:vAlign w:val="top"/>
          </w:tcPr>
          <w:p>
            <w:r>
              <w:rPr>
                <w:sz w:val="16"/>
              </w:rPr>
              <w:t>None assigned</w:t>
            </w:r>
          </w:p>
        </w:tc>
        <w:tc>
          <w:tcPr>
            <w:tcW w:type="dxa" w:w="3408"/>
            <w:vAlign w:val="top"/>
          </w:tcPr>
          <w:p>
            <w:r>
              <w:rPr>
                <w:sz w:val="16"/>
              </w:rPr>
              <w:t>No</w:t>
            </w:r>
          </w:p>
        </w:tc>
      </w:tr>
      <w:tr>
        <w:tc>
          <w:tcPr>
            <w:tcW w:type="dxa" w:w="3408"/>
            <w:vAlign w:val="top"/>
          </w:tcPr>
          <w:p>
            <w:r>
              <w:rPr>
                <w:sz w:val="16"/>
              </w:rPr>
              <w:t>Future story ID</w:t>
            </w:r>
          </w:p>
        </w:tc>
        <w:tc>
          <w:tcPr>
            <w:tcW w:type="dxa" w:w="3408"/>
            <w:vAlign w:val="top"/>
          </w:tcPr>
          <w:p>
            <w:r>
              <w:rPr>
                <w:sz w:val="16"/>
              </w:rPr>
              <w:t>None assigned</w:t>
            </w:r>
          </w:p>
        </w:tc>
        <w:tc>
          <w:tcPr>
            <w:tcW w:type="dxa" w:w="3408"/>
            <w:vAlign w:val="top"/>
          </w:tcPr>
          <w:p>
            <w:r>
              <w:rPr>
                <w:sz w:val="16"/>
              </w:rPr>
              <w:t>No</w:t>
            </w:r>
          </w:p>
        </w:tc>
      </w:tr>
      <w:tr>
        <w:tc>
          <w:tcPr>
            <w:tcW w:type="dxa" w:w="3408"/>
            <w:vAlign w:val="top"/>
          </w:tcPr>
          <w:p>
            <w:r>
              <w:rPr>
                <w:sz w:val="16"/>
              </w:rPr>
              <w:t>Acceptance criteria</w:t>
            </w:r>
          </w:p>
        </w:tc>
        <w:tc>
          <w:tcPr>
            <w:tcW w:type="dxa" w:w="3408"/>
            <w:vAlign w:val="top"/>
          </w:tcPr>
          <w:p>
            <w:r>
              <w:rPr>
                <w:sz w:val="16"/>
              </w:rPr>
              <w:t>Framework only</w:t>
            </w:r>
          </w:p>
        </w:tc>
        <w:tc>
          <w:tcPr>
            <w:tcW w:type="dxa" w:w="3408"/>
            <w:vAlign w:val="top"/>
          </w:tcPr>
          <w:p>
            <w:r>
              <w:rPr>
                <w:sz w:val="16"/>
              </w:rPr>
              <w:t>No</w:t>
            </w:r>
          </w:p>
        </w:tc>
      </w:tr>
      <w:tr>
        <w:tc>
          <w:tcPr>
            <w:tcW w:type="dxa" w:w="3408"/>
            <w:vAlign w:val="top"/>
          </w:tcPr>
          <w:p>
            <w:r>
              <w:rPr>
                <w:sz w:val="16"/>
              </w:rPr>
              <w:t>NFR IDs</w:t>
            </w:r>
          </w:p>
        </w:tc>
        <w:tc>
          <w:tcPr>
            <w:tcW w:type="dxa" w:w="3408"/>
            <w:vAlign w:val="top"/>
          </w:tcPr>
          <w:p>
            <w:r>
              <w:rPr>
                <w:sz w:val="16"/>
              </w:rPr>
              <w:t>None assigned</w:t>
            </w:r>
          </w:p>
        </w:tc>
        <w:tc>
          <w:tcPr>
            <w:tcW w:type="dxa" w:w="3408"/>
            <w:vAlign w:val="top"/>
          </w:tcPr>
          <w:p>
            <w:r>
              <w:rPr>
                <w:sz w:val="16"/>
              </w:rPr>
              <w:t>No</w:t>
            </w:r>
          </w:p>
        </w:tc>
      </w:tr>
      <w:tr>
        <w:tc>
          <w:tcPr>
            <w:tcW w:type="dxa" w:w="3408"/>
            <w:vAlign w:val="top"/>
          </w:tcPr>
          <w:p>
            <w:r>
              <w:rPr>
                <w:sz w:val="16"/>
              </w:rPr>
              <w:t>Dependencies and governance</w:t>
            </w:r>
          </w:p>
        </w:tc>
        <w:tc>
          <w:tcPr>
            <w:tcW w:type="dxa" w:w="3408"/>
            <w:vAlign w:val="top"/>
          </w:tcPr>
          <w:p>
            <w:r>
              <w:rPr>
                <w:sz w:val="16"/>
              </w:rPr>
              <w:t>Documented as discovery constraints</w:t>
            </w:r>
          </w:p>
        </w:tc>
        <w:tc>
          <w:tcPr>
            <w:tcW w:type="dxa" w:w="3408"/>
            <w:vAlign w:val="top"/>
          </w:tcPr>
          <w:p>
            <w:r>
              <w:rPr>
                <w:sz w:val="16"/>
              </w:rPr>
              <w:t>No</w:t>
            </w:r>
          </w:p>
        </w:tc>
      </w:tr>
      <w:tr>
        <w:tc>
          <w:tcPr>
            <w:tcW w:type="dxa" w:w="3408"/>
            <w:vAlign w:val="top"/>
          </w:tcPr>
          <w:p>
            <w:r>
              <w:rPr>
                <w:sz w:val="16"/>
              </w:rPr>
              <w:t>Story Points</w:t>
            </w:r>
          </w:p>
        </w:tc>
        <w:tc>
          <w:tcPr>
            <w:tcW w:type="dxa" w:w="3408"/>
            <w:vAlign w:val="top"/>
          </w:tcPr>
          <w:p>
            <w:r>
              <w:rPr>
                <w:sz w:val="16"/>
              </w:rPr>
              <w:t>Deferred to real delivery planning</w:t>
            </w:r>
          </w:p>
        </w:tc>
        <w:tc>
          <w:tcPr>
            <w:tcW w:type="dxa" w:w="3408"/>
            <w:vAlign w:val="top"/>
          </w:tcPr>
          <w:p>
            <w:r>
              <w:rPr>
                <w:sz w:val="16"/>
              </w:rPr>
              <w:t>No</w:t>
            </w:r>
          </w:p>
        </w:tc>
      </w:tr>
      <w:tr>
        <w:tc>
          <w:tcPr>
            <w:tcW w:type="dxa" w:w="3408"/>
            <w:vAlign w:val="top"/>
          </w:tcPr>
          <w:p>
            <w:r>
              <w:rPr>
                <w:sz w:val="16"/>
              </w:rPr>
              <w:t>Bugs</w:t>
            </w:r>
          </w:p>
        </w:tc>
        <w:tc>
          <w:tcPr>
            <w:tcW w:type="dxa" w:w="3408"/>
            <w:vAlign w:val="top"/>
          </w:tcPr>
          <w:p>
            <w:r>
              <w:rPr>
                <w:sz w:val="16"/>
              </w:rPr>
              <w:t>None, because no delivery defect exists</w:t>
            </w:r>
          </w:p>
        </w:tc>
        <w:tc>
          <w:tcPr>
            <w:tcW w:type="dxa" w:w="3408"/>
            <w:vAlign w:val="top"/>
          </w:tcPr>
          <w:p>
            <w:r>
              <w:rPr>
                <w:sz w:val="16"/>
              </w:rPr>
              <w:t>No</w:t>
            </w:r>
          </w:p>
        </w:tc>
      </w:tr>
      <w:tr>
        <w:tc>
          <w:tcPr>
            <w:tcW w:type="dxa" w:w="3408"/>
            <w:vAlign w:val="top"/>
          </w:tcPr>
          <w:p>
            <w:r>
              <w:rPr>
                <w:sz w:val="16"/>
              </w:rPr>
              <w:t>Jira creation</w:t>
            </w:r>
          </w:p>
        </w:tc>
        <w:tc>
          <w:tcPr>
            <w:tcW w:type="dxa" w:w="3408"/>
            <w:vAlign w:val="top"/>
          </w:tcPr>
          <w:p>
            <w:r>
              <w:rPr>
                <w:sz w:val="16"/>
              </w:rPr>
              <w:t>Not approved</w:t>
            </w:r>
          </w:p>
        </w:tc>
        <w:tc>
          <w:tcPr>
            <w:tcW w:type="dxa" w:w="3408"/>
            <w:vAlign w:val="top"/>
          </w:tcPr>
          <w:p>
            <w:r>
              <w:rPr>
                <w:sz w:val="16"/>
              </w:rPr>
              <w:t>No</w:t>
            </w:r>
          </w:p>
        </w:tc>
      </w:tr>
    </w:tbl>
    <w:p>
      <w:pPr>
        <w:spacing w:after="20"/>
      </w:pPr>
    </w:p>
    <w:p>
      <w:pPr>
        <w:pStyle w:val="Heading1"/>
      </w:pPr>
      <w:r>
        <w:t>12. Pass 3 Decision</w:t>
      </w:r>
    </w:p>
    <w:p>
      <w:pPr>
        <w:spacing w:after="80" w:line="252" w:lineRule="auto"/>
      </w:pPr>
      <w:r>
        <w:t>Pass 3 maintains a constrained delivery translation posture. The four F05 feature candidates and the two unnumbered requirement directions are now expressed in delivery-ready structure, but no formal future requirement or story ID is authorised.</w:t>
      </w:r>
    </w:p>
    <w:p>
      <w:pPr>
        <w:spacing w:after="80" w:line="252" w:lineRule="auto"/>
      </w:pPr>
      <w:r>
        <w:t>The remaining progression bar is evidence for the nine gates: validate the user problem and value, define the minimum data scope and consent basis, bound personalisation logic, establish transparency and control, define the lifecycle model, then write testable acceptance criteria and make the value and priority decision.</w:t>
      </w:r>
    </w:p>
    <w:p>
      <w:pPr>
        <w:spacing w:after="80" w:line="252" w:lineRule="auto"/>
      </w:pPr>
      <w:r>
        <w:t>Next controlled stage: independent cross-artifact QA against Pass 2, the revalidated Product Vision and Capability Map, and the sibling F01 through F04 final portfolio packages.</w:t>
      </w:r>
    </w:p>
    <w:p>
      <w:pPr>
        <w:pStyle w:val="Heading1"/>
      </w:pPr>
      <w:r>
        <w:t>13. Traceability to Source Artifacts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sz w:val="16"/>
              </w:rPr>
              <w:t>Source artifact</w:t>
            </w:r>
          </w:p>
        </w:tc>
        <w:tc>
          <w:tcPr>
            <w:tcW w:type="dxa" w:w="5112"/>
            <w:shd w:fill="D9EAF7"/>
            <w:vAlign w:val="center"/>
          </w:tcPr>
          <w:p>
            <w:r>
              <w:rPr>
                <w:b/>
                <w:sz w:val="16"/>
              </w:rPr>
              <w:t>How Pass 3 uses it</w:t>
            </w:r>
          </w:p>
        </w:tc>
      </w:tr>
      <w:tr>
        <w:tc>
          <w:tcPr>
            <w:tcW w:type="dxa" w:w="5112"/>
            <w:vAlign w:val="top"/>
          </w:tcPr>
          <w:p>
            <w:r>
              <w:rPr>
                <w:sz w:val="16"/>
              </w:rPr>
              <w:t>Product Vision &amp; Capability Map | Revalidated Scope</w:t>
            </w:r>
          </w:p>
        </w:tc>
        <w:tc>
          <w:tcPr>
            <w:tcW w:type="dxa" w:w="5112"/>
            <w:vAlign w:val="top"/>
          </w:tcPr>
          <w:p>
            <w:r>
              <w:rPr>
                <w:sz w:val="16"/>
              </w:rPr>
              <w:t>Preserves the F05 opportunity, five-epic boundary, and consent, privacy, data-model and value conditions.</w:t>
            </w:r>
          </w:p>
        </w:tc>
      </w:tr>
      <w:tr>
        <w:tc>
          <w:tcPr>
            <w:tcW w:type="dxa" w:w="5112"/>
            <w:vAlign w:val="top"/>
          </w:tcPr>
          <w:p>
            <w:r>
              <w:rPr>
                <w:sz w:val="16"/>
              </w:rPr>
              <w:t>EPIC-F05 Deep Discovery | Pass 2</w:t>
            </w:r>
          </w:p>
        </w:tc>
        <w:tc>
          <w:tcPr>
            <w:tcW w:type="dxa" w:w="5112"/>
            <w:vAlign w:val="top"/>
          </w:tcPr>
          <w:p>
            <w:r>
              <w:rPr>
                <w:sz w:val="16"/>
              </w:rPr>
              <w:t>Translates F05.1 to F05.4, the unnumbered requirement directions, story direction, data questions, NFR themes and nine-gate progression model.</w:t>
            </w:r>
          </w:p>
        </w:tc>
      </w:tr>
      <w:tr>
        <w:tc>
          <w:tcPr>
            <w:tcW w:type="dxa" w:w="5112"/>
            <w:vAlign w:val="top"/>
          </w:tcPr>
          <w:p>
            <w:r>
              <w:rPr>
                <w:sz w:val="16"/>
              </w:rPr>
              <w:t>EPIC-F01 to F04 future-state packages</w:t>
            </w:r>
          </w:p>
        </w:tc>
        <w:tc>
          <w:tcPr>
            <w:tcW w:type="dxa" w:w="5112"/>
            <w:vAlign w:val="top"/>
          </w:tcPr>
          <w:p>
            <w:r>
              <w:rPr>
                <w:sz w:val="16"/>
              </w:rPr>
              <w:t>Maintains settled cross-epic boundaries and avoids moving personalisation into care, weather, plant health or global intelligence.</w:t>
            </w:r>
          </w:p>
        </w:tc>
      </w:tr>
      <w:tr>
        <w:tc>
          <w:tcPr>
            <w:tcW w:type="dxa" w:w="5112"/>
            <w:vAlign w:val="top"/>
          </w:tcPr>
          <w:p>
            <w:r>
              <w:rPr>
                <w:sz w:val="16"/>
              </w:rPr>
              <w:t>Locked EcoGrow MVP</w:t>
            </w:r>
          </w:p>
        </w:tc>
        <w:tc>
          <w:tcPr>
            <w:tcW w:type="dxa" w:w="5112"/>
            <w:vAlign w:val="top"/>
          </w:tcPr>
          <w:p>
            <w:r>
              <w:rPr>
                <w:sz w:val="16"/>
              </w:rPr>
              <w:t>Maintains the historical baseline. No FR-01 to FR-09 changes are made here.</w:t>
            </w:r>
          </w:p>
        </w:tc>
      </w:tr>
    </w:tbl>
    <w:p>
      <w:pPr>
        <w:spacing w:after="20"/>
      </w:pPr>
    </w:p>
    <w:p>
      <w:pPr>
        <w:pStyle w:val="SmallNote"/>
        <w:spacing w:after="80" w:line="252" w:lineRule="auto"/>
      </w:pPr>
      <w:r>
        <w:t>Evidence boundary: This document demonstrates requirements-engineering discipline, future-state discovery, governance translation and progression control. It does not establish product acceptance, production readiness, sprint delivery, realised benefits, or approved personalisation policy.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Prepared by Doris Frank, Business Analyst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5"/>
      </w:rPr>
      <w:t>EcoGrow Future-State Discovery | EPIC-F05 | Pass 3 | Doris Frank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EcoGrow EPIC-F05 Personalised Garden Experience | Delivery Translation | Pass 3</dc:title>
  <dc:subject>Controlled future-state delivery translation</dc:subject>
  <dc:creator>Doris Frank</dc:creator>
  <cp:keywords>EcoGrow, EPIC-F05, Personalised Garden Experience, Business Analysis, Discovery, Delivery Translation</cp:keywords>
  <dc:description>generated by python-docx</dc:description>
  <cp:lastModifiedBy/>
  <cp:revision>1</cp:revision>
  <dcterms:created xsi:type="dcterms:W3CDTF">2013-12-23T23:15:00Z</dcterms:created>
  <dcterms:modified xsi:type="dcterms:W3CDTF">2013-12-23T23:15:00Z</dcterms:modified>
  <cp:category/>
</cp:coreProperties>
</file>