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F4E79"/>
          <w:sz w:val="36"/>
        </w:rPr>
        <w:t>EcoGrow Future-State Discovery</w:t>
      </w:r>
    </w:p>
    <w:p>
      <w:pPr>
        <w:spacing w:after="40"/>
        <w:jc w:val="center"/>
      </w:pPr>
      <w:r>
        <w:rPr>
          <w:rFonts w:ascii="Aptos Display" w:hAnsi="Aptos Display"/>
          <w:b/>
          <w:sz w:val="23"/>
        </w:rPr>
        <w:t>EPIC-F05 Personalised Garden Experience | Portfolio Packaging | Pass 5</w:t>
      </w:r>
    </w:p>
    <w:p>
      <w:pPr>
        <w:spacing w:after="40"/>
        <w:jc w:val="center"/>
      </w:pPr>
      <w:r>
        <w:rPr>
          <w:i/>
          <w:sz w:val="18"/>
        </w:rPr>
        <w:t>Prepared by Doris Frank, Business Analyst</w:t>
      </w:r>
    </w:p>
    <w:tbl>
      <w:tblPr>
        <w:tblW w:type="auto" w:w="0"/>
        <w:jc w:val="center"/>
        <w:tblLook w:firstColumn="1" w:firstRow="1" w:lastColumn="0" w:lastRow="0" w:noHBand="0" w:noVBand="1" w:val="04A0"/>
      </w:tblPr>
      <w:tblGrid>
        <w:gridCol w:w="10368"/>
      </w:tblGrid>
      <w:tr>
        <w:trPr>
          <w:cantSplit/>
        </w:trPr>
        <w:tc>
          <w:tcPr>
            <w:tcW w:type="dxa" w:w="10368"/>
            <w:shd w:fill="EAF2F8"/>
            <w:vAlign w:val="center"/>
          </w:tcPr>
          <w:p>
            <w:pPr>
              <w:spacing w:after="0" w:line="228" w:lineRule="auto"/>
            </w:pPr>
            <w:r>
              <w:rPr>
                <w:sz w:val="15"/>
              </w:rPr>
            </w:r>
            <w:r>
              <w:rPr>
                <w:rFonts w:ascii="Aptos" w:hAnsi="Aptos"/>
                <w:b w:val="0"/>
                <w:sz w:val="15"/>
              </w:rPr>
              <w:t>Status: Final portfolio packaging of a constrained future-state discovery track. This package does not amend the locked MVP, create Jira commitments, or represent approved delivery scope.</w:t>
            </w:r>
          </w:p>
        </w:tc>
      </w:tr>
    </w:tbl>
    <w:p>
      <w:pPr>
        <w:pStyle w:val="Heading1"/>
        <w:spacing w:before="80" w:after="30"/>
      </w:pPr>
      <w:r>
        <w:t>1. Portfolio Position</w:t>
      </w:r>
    </w:p>
    <w:p>
      <w:pPr>
        <w:spacing w:after="40" w:line="240" w:lineRule="auto"/>
      </w:pPr>
      <w:r>
        <w:t>F05 is packaged as a governed future-state personalisation capability, not as an approved product commitment. I deliberately preserve the discovery boundary because the value proposition, minimum data scope, consent basis, personalisation logic, user controls and lifecycle model are not yet resolved.</w:t>
      </w:r>
    </w:p>
    <w:tbl>
      <w:tblPr>
        <w:tblStyle w:val="TableGrid"/>
        <w:tblW w:type="auto" w:w="0"/>
        <w:jc w:val="center"/>
        <w:tblLook w:firstColumn="1" w:firstRow="1" w:lastColumn="0" w:lastRow="0" w:noHBand="0" w:noVBand="1" w:val="04A0"/>
      </w:tblPr>
      <w:tblGrid>
        <w:gridCol w:w="5184"/>
        <w:gridCol w:w="5184"/>
      </w:tblGrid>
      <w:tr>
        <w:trPr>
          <w:cantSplit/>
        </w:trPr>
        <w:tc>
          <w:tcPr>
            <w:tcW w:type="dxa" w:w="2232"/>
            <w:vAlign w:val="center"/>
            <w:shd w:fill="D9EAF7"/>
          </w:tcPr>
          <w:p>
            <w:pPr>
              <w:spacing w:after="0" w:line="228" w:lineRule="auto"/>
            </w:pPr>
            <w:r>
              <w:rPr>
                <w:sz w:val="15"/>
              </w:rPr>
            </w:r>
            <w:r>
              <w:rPr>
                <w:rFonts w:ascii="Aptos" w:hAnsi="Aptos"/>
                <w:b/>
                <w:sz w:val="15"/>
              </w:rPr>
              <w:t>Item</w:t>
            </w:r>
          </w:p>
        </w:tc>
        <w:tc>
          <w:tcPr>
            <w:tcW w:type="dxa" w:w="8136"/>
            <w:vAlign w:val="center"/>
            <w:shd w:fill="D9EAF7"/>
          </w:tcPr>
          <w:p>
            <w:pPr>
              <w:spacing w:after="0" w:line="228" w:lineRule="auto"/>
            </w:pPr>
            <w:r>
              <w:rPr>
                <w:sz w:val="15"/>
              </w:rPr>
            </w:r>
            <w:r>
              <w:rPr>
                <w:rFonts w:ascii="Aptos" w:hAnsi="Aptos"/>
                <w:b/>
                <w:sz w:val="15"/>
              </w:rPr>
              <w:t>Final position</w:t>
            </w:r>
          </w:p>
        </w:tc>
      </w:tr>
      <w:tr>
        <w:trPr>
          <w:cantSplit/>
        </w:trPr>
        <w:tc>
          <w:tcPr>
            <w:tcW w:type="dxa" w:w="2232"/>
            <w:vAlign w:val="center"/>
          </w:tcPr>
          <w:p>
            <w:pPr>
              <w:spacing w:after="0" w:line="228" w:lineRule="auto"/>
            </w:pPr>
            <w:r>
              <w:rPr>
                <w:sz w:val="15"/>
              </w:rPr>
            </w:r>
            <w:r>
              <w:rPr>
                <w:rFonts w:ascii="Aptos" w:hAnsi="Aptos"/>
                <w:b w:val="0"/>
                <w:sz w:val="15"/>
              </w:rPr>
              <w:t>Epic</w:t>
            </w:r>
          </w:p>
        </w:tc>
        <w:tc>
          <w:tcPr>
            <w:tcW w:type="dxa" w:w="8136"/>
            <w:vAlign w:val="center"/>
          </w:tcPr>
          <w:p>
            <w:pPr>
              <w:spacing w:after="0" w:line="228" w:lineRule="auto"/>
            </w:pPr>
            <w:r>
              <w:rPr>
                <w:sz w:val="15"/>
              </w:rPr>
            </w:r>
            <w:r>
              <w:rPr>
                <w:rFonts w:ascii="Aptos" w:hAnsi="Aptos"/>
                <w:b w:val="0"/>
                <w:sz w:val="15"/>
              </w:rPr>
              <w:t>EPIC-F05 Personalised Garden Experience</w:t>
            </w:r>
          </w:p>
        </w:tc>
      </w:tr>
      <w:tr>
        <w:trPr>
          <w:cantSplit/>
        </w:trPr>
        <w:tc>
          <w:tcPr>
            <w:tcW w:type="dxa" w:w="2232"/>
            <w:vAlign w:val="center"/>
          </w:tcPr>
          <w:p>
            <w:pPr>
              <w:spacing w:after="0" w:line="228" w:lineRule="auto"/>
            </w:pPr>
            <w:r>
              <w:rPr>
                <w:sz w:val="15"/>
              </w:rPr>
            </w:r>
            <w:r>
              <w:rPr>
                <w:rFonts w:ascii="Aptos" w:hAnsi="Aptos"/>
                <w:b w:val="0"/>
                <w:sz w:val="15"/>
              </w:rPr>
              <w:t>Features</w:t>
            </w:r>
          </w:p>
        </w:tc>
        <w:tc>
          <w:tcPr>
            <w:tcW w:type="dxa" w:w="8136"/>
            <w:vAlign w:val="center"/>
          </w:tcPr>
          <w:p>
            <w:pPr>
              <w:spacing w:after="0" w:line="228" w:lineRule="auto"/>
            </w:pPr>
            <w:r>
              <w:rPr>
                <w:sz w:val="15"/>
              </w:rPr>
            </w:r>
            <w:r>
              <w:rPr>
                <w:rFonts w:ascii="Aptos" w:hAnsi="Aptos"/>
                <w:b w:val="0"/>
                <w:sz w:val="15"/>
              </w:rPr>
              <w:t>F05.1 Gardener Profile and Preferences; F05.2 Garden Context; F05.3 Personalised Relevance; F05.4 History and Personalisation Controls</w:t>
            </w:r>
          </w:p>
        </w:tc>
      </w:tr>
      <w:tr>
        <w:trPr>
          <w:cantSplit/>
        </w:trPr>
        <w:tc>
          <w:tcPr>
            <w:tcW w:type="dxa" w:w="2232"/>
            <w:vAlign w:val="center"/>
          </w:tcPr>
          <w:p>
            <w:pPr>
              <w:spacing w:after="0" w:line="228" w:lineRule="auto"/>
            </w:pPr>
            <w:r>
              <w:rPr>
                <w:sz w:val="15"/>
              </w:rPr>
            </w:r>
            <w:r>
              <w:rPr>
                <w:rFonts w:ascii="Aptos" w:hAnsi="Aptos"/>
                <w:b w:val="0"/>
                <w:sz w:val="15"/>
              </w:rPr>
              <w:t>Future requirement IDs</w:t>
            </w:r>
          </w:p>
        </w:tc>
        <w:tc>
          <w:tcPr>
            <w:tcW w:type="dxa" w:w="8136"/>
            <w:vAlign w:val="center"/>
          </w:tcPr>
          <w:p>
            <w:pPr>
              <w:spacing w:after="0" w:line="228" w:lineRule="auto"/>
            </w:pPr>
            <w:r>
              <w:rPr>
                <w:sz w:val="15"/>
              </w:rPr>
            </w:r>
            <w:r>
              <w:rPr>
                <w:rFonts w:ascii="Aptos" w:hAnsi="Aptos"/>
                <w:b w:val="0"/>
                <w:sz w:val="15"/>
              </w:rPr>
              <w:t>None assigned</w:t>
            </w:r>
          </w:p>
        </w:tc>
      </w:tr>
      <w:tr>
        <w:trPr>
          <w:cantSplit/>
        </w:trPr>
        <w:tc>
          <w:tcPr>
            <w:tcW w:type="dxa" w:w="2232"/>
            <w:vAlign w:val="center"/>
          </w:tcPr>
          <w:p>
            <w:pPr>
              <w:spacing w:after="0" w:line="228" w:lineRule="auto"/>
            </w:pPr>
            <w:r>
              <w:rPr>
                <w:sz w:val="15"/>
              </w:rPr>
            </w:r>
            <w:r>
              <w:rPr>
                <w:rFonts w:ascii="Aptos" w:hAnsi="Aptos"/>
                <w:b w:val="0"/>
                <w:sz w:val="15"/>
              </w:rPr>
              <w:t>Future story IDs</w:t>
            </w:r>
          </w:p>
        </w:tc>
        <w:tc>
          <w:tcPr>
            <w:tcW w:type="dxa" w:w="8136"/>
            <w:vAlign w:val="center"/>
          </w:tcPr>
          <w:p>
            <w:pPr>
              <w:spacing w:after="0" w:line="228" w:lineRule="auto"/>
            </w:pPr>
            <w:r>
              <w:rPr>
                <w:sz w:val="15"/>
              </w:rPr>
            </w:r>
            <w:r>
              <w:rPr>
                <w:rFonts w:ascii="Aptos" w:hAnsi="Aptos"/>
                <w:b w:val="0"/>
                <w:sz w:val="15"/>
              </w:rPr>
              <w:t>None assigned</w:t>
            </w:r>
          </w:p>
        </w:tc>
      </w:tr>
      <w:tr>
        <w:trPr>
          <w:cantSplit/>
        </w:trPr>
        <w:tc>
          <w:tcPr>
            <w:tcW w:type="dxa" w:w="2232"/>
            <w:vAlign w:val="center"/>
          </w:tcPr>
          <w:p>
            <w:pPr>
              <w:spacing w:after="0" w:line="228" w:lineRule="auto"/>
            </w:pPr>
            <w:r>
              <w:rPr>
                <w:sz w:val="15"/>
              </w:rPr>
            </w:r>
            <w:r>
              <w:rPr>
                <w:rFonts w:ascii="Aptos" w:hAnsi="Aptos"/>
                <w:b w:val="0"/>
                <w:sz w:val="15"/>
              </w:rPr>
              <w:t>Jira</w:t>
            </w:r>
          </w:p>
        </w:tc>
        <w:tc>
          <w:tcPr>
            <w:tcW w:type="dxa" w:w="8136"/>
            <w:vAlign w:val="center"/>
          </w:tcPr>
          <w:p>
            <w:pPr>
              <w:spacing w:after="0" w:line="228" w:lineRule="auto"/>
            </w:pPr>
            <w:r>
              <w:rPr>
                <w:sz w:val="15"/>
              </w:rPr>
            </w:r>
            <w:r>
              <w:rPr>
                <w:rFonts w:ascii="Aptos" w:hAnsi="Aptos"/>
                <w:b w:val="0"/>
                <w:sz w:val="15"/>
              </w:rPr>
              <w:t>Not authorised</w:t>
            </w:r>
          </w:p>
        </w:tc>
      </w:tr>
      <w:tr>
        <w:trPr>
          <w:cantSplit/>
        </w:trPr>
        <w:tc>
          <w:tcPr>
            <w:tcW w:type="dxa" w:w="2232"/>
            <w:vAlign w:val="center"/>
          </w:tcPr>
          <w:p>
            <w:pPr>
              <w:spacing w:after="0" w:line="228" w:lineRule="auto"/>
            </w:pPr>
            <w:r>
              <w:rPr>
                <w:sz w:val="15"/>
              </w:rPr>
            </w:r>
            <w:r>
              <w:rPr>
                <w:rFonts w:ascii="Aptos" w:hAnsi="Aptos"/>
                <w:b w:val="0"/>
                <w:sz w:val="15"/>
              </w:rPr>
              <w:t>Story Points / Bugs</w:t>
            </w:r>
          </w:p>
        </w:tc>
        <w:tc>
          <w:tcPr>
            <w:tcW w:type="dxa" w:w="8136"/>
            <w:vAlign w:val="center"/>
          </w:tcPr>
          <w:p>
            <w:pPr>
              <w:spacing w:after="0" w:line="228" w:lineRule="auto"/>
            </w:pPr>
            <w:r>
              <w:rPr>
                <w:sz w:val="15"/>
              </w:rPr>
            </w:r>
            <w:r>
              <w:rPr>
                <w:rFonts w:ascii="Aptos" w:hAnsi="Aptos"/>
                <w:b w:val="0"/>
                <w:sz w:val="15"/>
              </w:rPr>
              <w:t>None created</w:t>
            </w:r>
          </w:p>
        </w:tc>
      </w:tr>
      <w:tr>
        <w:trPr>
          <w:cantSplit/>
        </w:trPr>
        <w:tc>
          <w:tcPr>
            <w:tcW w:type="dxa" w:w="2232"/>
            <w:vAlign w:val="center"/>
          </w:tcPr>
          <w:p>
            <w:pPr>
              <w:spacing w:after="0" w:line="228" w:lineRule="auto"/>
            </w:pPr>
            <w:r>
              <w:rPr>
                <w:sz w:val="15"/>
              </w:rPr>
            </w:r>
            <w:r>
              <w:rPr>
                <w:rFonts w:ascii="Aptos" w:hAnsi="Aptos"/>
                <w:b w:val="0"/>
                <w:sz w:val="15"/>
              </w:rPr>
              <w:t>Delivery state</w:t>
            </w:r>
          </w:p>
        </w:tc>
        <w:tc>
          <w:tcPr>
            <w:tcW w:type="dxa" w:w="8136"/>
            <w:vAlign w:val="center"/>
          </w:tcPr>
          <w:p>
            <w:pPr>
              <w:spacing w:after="0" w:line="228" w:lineRule="auto"/>
            </w:pPr>
            <w:r>
              <w:rPr>
                <w:sz w:val="15"/>
              </w:rPr>
            </w:r>
            <w:r>
              <w:rPr>
                <w:rFonts w:ascii="Aptos" w:hAnsi="Aptos"/>
                <w:b w:val="0"/>
                <w:sz w:val="15"/>
              </w:rPr>
              <w:t>Constrained discovery, not approved delivery</w:t>
            </w:r>
          </w:p>
        </w:tc>
      </w:tr>
    </w:tbl>
    <w:p>
      <w:pPr>
        <w:spacing w:after="40"/>
      </w:pPr>
    </w:p>
    <w:p>
      <w:pPr>
        <w:pStyle w:val="Heading1"/>
        <w:spacing w:before="80" w:after="30"/>
      </w:pPr>
      <w:r>
        <w:t>2. Executive Story</w:t>
      </w:r>
    </w:p>
    <w:p>
      <w:pPr>
        <w:spacing w:after="40" w:line="240" w:lineRule="auto"/>
      </w:pPr>
      <w:r>
        <w:t>I explored whether EcoGrow could move from a broadly shared experience toward relevant gardening support by using approved gardener profile information, garden context, explicit preferences and selected history. The core question is not whether personalisation is technically possible. It is whether the added data, complexity and governance burden create enough verified value to justify the capability.</w:t>
      </w:r>
    </w:p>
    <w:p>
      <w:pPr>
        <w:pStyle w:val="Heading1"/>
        <w:spacing w:before="80" w:after="30"/>
      </w:pPr>
      <w:r>
        <w:t>3. What F05 Adds</w:t>
      </w:r>
    </w:p>
    <w:tbl>
      <w:tblPr>
        <w:tblStyle w:val="TableGrid"/>
        <w:tblW w:type="auto" w:w="0"/>
        <w:jc w:val="center"/>
        <w:tblLook w:firstColumn="1" w:firstRow="1" w:lastColumn="0" w:lastRow="0" w:noHBand="0" w:noVBand="1" w:val="04A0"/>
      </w:tblPr>
      <w:tblGrid>
        <w:gridCol w:w="5184"/>
        <w:gridCol w:w="5184"/>
      </w:tblGrid>
      <w:tr>
        <w:trPr>
          <w:cantSplit/>
        </w:trPr>
        <w:tc>
          <w:tcPr>
            <w:tcW w:type="dxa" w:w="3384"/>
            <w:vAlign w:val="center"/>
            <w:shd w:fill="D9EAF7"/>
          </w:tcPr>
          <w:p>
            <w:pPr>
              <w:spacing w:after="0" w:line="228" w:lineRule="auto"/>
            </w:pPr>
            <w:r>
              <w:rPr>
                <w:sz w:val="15"/>
              </w:rPr>
            </w:r>
            <w:r>
              <w:rPr>
                <w:rFonts w:ascii="Aptos" w:hAnsi="Aptos"/>
                <w:b/>
                <w:sz w:val="15"/>
              </w:rPr>
              <w:t>Capability</w:t>
            </w:r>
          </w:p>
        </w:tc>
        <w:tc>
          <w:tcPr>
            <w:tcW w:type="dxa" w:w="6984"/>
            <w:vAlign w:val="center"/>
            <w:shd w:fill="D9EAF7"/>
          </w:tcPr>
          <w:p>
            <w:pPr>
              <w:spacing w:after="0" w:line="228" w:lineRule="auto"/>
            </w:pPr>
            <w:r>
              <w:rPr>
                <w:sz w:val="15"/>
              </w:rPr>
            </w:r>
            <w:r>
              <w:rPr>
                <w:rFonts w:ascii="Aptos" w:hAnsi="Aptos"/>
                <w:b/>
                <w:sz w:val="15"/>
              </w:rPr>
              <w:t>Portfolio position</w:t>
            </w:r>
          </w:p>
        </w:tc>
      </w:tr>
      <w:tr>
        <w:trPr>
          <w:cantSplit/>
        </w:trPr>
        <w:tc>
          <w:tcPr>
            <w:tcW w:type="dxa" w:w="3384"/>
            <w:vAlign w:val="center"/>
          </w:tcPr>
          <w:p>
            <w:pPr>
              <w:spacing w:after="0" w:line="228" w:lineRule="auto"/>
            </w:pPr>
            <w:r>
              <w:rPr>
                <w:sz w:val="15"/>
              </w:rPr>
            </w:r>
            <w:r>
              <w:rPr>
                <w:rFonts w:ascii="Aptos" w:hAnsi="Aptos"/>
                <w:b w:val="0"/>
                <w:sz w:val="15"/>
              </w:rPr>
              <w:t>F05.1 Gardener Profile and Preferences</w:t>
            </w:r>
          </w:p>
        </w:tc>
        <w:tc>
          <w:tcPr>
            <w:tcW w:type="dxa" w:w="6984"/>
            <w:vAlign w:val="center"/>
          </w:tcPr>
          <w:p>
            <w:pPr>
              <w:spacing w:after="0" w:line="228" w:lineRule="auto"/>
            </w:pPr>
            <w:r>
              <w:rPr>
                <w:sz w:val="15"/>
              </w:rPr>
            </w:r>
            <w:r>
              <w:rPr>
                <w:rFonts w:ascii="Aptos" w:hAnsi="Aptos"/>
                <w:b w:val="0"/>
                <w:sz w:val="15"/>
              </w:rPr>
              <w:t>Explore approved profile and explicit preference signals without assuming a final schema or mandatory account data.</w:t>
            </w:r>
          </w:p>
        </w:tc>
      </w:tr>
      <w:tr>
        <w:trPr>
          <w:cantSplit/>
        </w:trPr>
        <w:tc>
          <w:tcPr>
            <w:tcW w:type="dxa" w:w="3384"/>
            <w:vAlign w:val="center"/>
          </w:tcPr>
          <w:p>
            <w:pPr>
              <w:spacing w:after="0" w:line="228" w:lineRule="auto"/>
            </w:pPr>
            <w:r>
              <w:rPr>
                <w:sz w:val="15"/>
              </w:rPr>
            </w:r>
            <w:r>
              <w:rPr>
                <w:rFonts w:ascii="Aptos" w:hAnsi="Aptos"/>
                <w:b w:val="0"/>
                <w:sz w:val="15"/>
              </w:rPr>
              <w:t>F05.2 Garden Context</w:t>
            </w:r>
          </w:p>
        </w:tc>
        <w:tc>
          <w:tcPr>
            <w:tcW w:type="dxa" w:w="6984"/>
            <w:vAlign w:val="center"/>
          </w:tcPr>
          <w:p>
            <w:pPr>
              <w:spacing w:after="0" w:line="228" w:lineRule="auto"/>
            </w:pPr>
            <w:r>
              <w:rPr>
                <w:sz w:val="15"/>
              </w:rPr>
            </w:r>
            <w:r>
              <w:rPr>
                <w:rFonts w:ascii="Aptos" w:hAnsi="Aptos"/>
                <w:b w:val="0"/>
                <w:sz w:val="15"/>
              </w:rPr>
              <w:t>Explore garden-context signals only where they demonstrate measurable relevance. Precise location is not assumed.</w:t>
            </w:r>
          </w:p>
        </w:tc>
      </w:tr>
      <w:tr>
        <w:trPr>
          <w:cantSplit/>
        </w:trPr>
        <w:tc>
          <w:tcPr>
            <w:tcW w:type="dxa" w:w="3384"/>
            <w:vAlign w:val="center"/>
          </w:tcPr>
          <w:p>
            <w:pPr>
              <w:spacing w:after="0" w:line="228" w:lineRule="auto"/>
            </w:pPr>
            <w:r>
              <w:rPr>
                <w:sz w:val="15"/>
              </w:rPr>
            </w:r>
            <w:r>
              <w:rPr>
                <w:rFonts w:ascii="Aptos" w:hAnsi="Aptos"/>
                <w:b w:val="0"/>
                <w:sz w:val="15"/>
              </w:rPr>
              <w:t>F05.3 Personalised Relevance</w:t>
            </w:r>
          </w:p>
        </w:tc>
        <w:tc>
          <w:tcPr>
            <w:tcW w:type="dxa" w:w="6984"/>
            <w:vAlign w:val="center"/>
          </w:tcPr>
          <w:p>
            <w:pPr>
              <w:spacing w:after="0" w:line="228" w:lineRule="auto"/>
            </w:pPr>
            <w:r>
              <w:rPr>
                <w:sz w:val="15"/>
              </w:rPr>
            </w:r>
            <w:r>
              <w:rPr>
                <w:rFonts w:ascii="Aptos" w:hAnsi="Aptos"/>
                <w:b w:val="0"/>
                <w:sz w:val="15"/>
              </w:rPr>
              <w:t>Explore bounded, explainable relevance logic without assuming a final recommendation model or unrestricted ranking.</w:t>
            </w:r>
          </w:p>
        </w:tc>
      </w:tr>
      <w:tr>
        <w:trPr>
          <w:cantSplit/>
        </w:trPr>
        <w:tc>
          <w:tcPr>
            <w:tcW w:type="dxa" w:w="3384"/>
            <w:vAlign w:val="center"/>
          </w:tcPr>
          <w:p>
            <w:pPr>
              <w:spacing w:after="0" w:line="228" w:lineRule="auto"/>
            </w:pPr>
            <w:r>
              <w:rPr>
                <w:sz w:val="15"/>
              </w:rPr>
            </w:r>
            <w:r>
              <w:rPr>
                <w:rFonts w:ascii="Aptos" w:hAnsi="Aptos"/>
                <w:b w:val="0"/>
                <w:sz w:val="15"/>
              </w:rPr>
              <w:t>F05.4 History and Personalisation Controls</w:t>
            </w:r>
          </w:p>
        </w:tc>
        <w:tc>
          <w:tcPr>
            <w:tcW w:type="dxa" w:w="6984"/>
            <w:vAlign w:val="center"/>
          </w:tcPr>
          <w:p>
            <w:pPr>
              <w:spacing w:after="0" w:line="228" w:lineRule="auto"/>
            </w:pPr>
            <w:r>
              <w:rPr>
                <w:sz w:val="15"/>
              </w:rPr>
            </w:r>
            <w:r>
              <w:rPr>
                <w:rFonts w:ascii="Aptos" w:hAnsi="Aptos"/>
                <w:b w:val="0"/>
                <w:sz w:val="15"/>
              </w:rPr>
              <w:t>Explore useful history signals plus review, change, reset and disable controls. Retention and lifecycle remain open.</w:t>
            </w:r>
          </w:p>
        </w:tc>
      </w:tr>
    </w:tbl>
    <w:p>
      <w:pPr>
        <w:spacing w:after="40"/>
      </w:pPr>
    </w:p>
    <w:p>
      <w:pPr>
        <w:pStyle w:val="Heading1"/>
        <w:spacing w:before="80" w:after="30"/>
      </w:pPr>
      <w:r>
        <w:t>4. Cross-Epic Progression Signal</w:t>
      </w:r>
    </w:p>
    <w:tbl>
      <w:tblPr>
        <w:tblStyle w:val="TableGrid"/>
        <w:tblW w:type="auto" w:w="0"/>
        <w:jc w:val="center"/>
        <w:tblLook w:firstColumn="1" w:firstRow="1" w:lastColumn="0" w:lastRow="0" w:noHBand="0" w:noVBand="1" w:val="04A0"/>
      </w:tblPr>
      <w:tblGrid>
        <w:gridCol w:w="5184"/>
        <w:gridCol w:w="5184"/>
      </w:tblGrid>
      <w:tr>
        <w:trPr>
          <w:cantSplit/>
        </w:trPr>
        <w:tc>
          <w:tcPr>
            <w:tcW w:type="dxa" w:w="3816"/>
            <w:vAlign w:val="center"/>
            <w:shd w:fill="D9EAF7"/>
          </w:tcPr>
          <w:p>
            <w:pPr>
              <w:spacing w:after="0" w:line="228" w:lineRule="auto"/>
            </w:pPr>
            <w:r>
              <w:rPr>
                <w:sz w:val="15"/>
              </w:rPr>
            </w:r>
            <w:r>
              <w:rPr>
                <w:rFonts w:ascii="Aptos" w:hAnsi="Aptos"/>
                <w:b/>
                <w:sz w:val="15"/>
              </w:rPr>
              <w:t>Epic</w:t>
            </w:r>
          </w:p>
        </w:tc>
        <w:tc>
          <w:tcPr>
            <w:tcW w:type="dxa" w:w="6552"/>
            <w:vAlign w:val="center"/>
            <w:shd w:fill="D9EAF7"/>
          </w:tcPr>
          <w:p>
            <w:pPr>
              <w:spacing w:after="0" w:line="228" w:lineRule="auto"/>
            </w:pPr>
            <w:r>
              <w:rPr>
                <w:sz w:val="15"/>
              </w:rPr>
            </w:r>
            <w:r>
              <w:rPr>
                <w:rFonts w:ascii="Aptos" w:hAnsi="Aptos"/>
                <w:b/>
                <w:sz w:val="15"/>
              </w:rPr>
              <w:t>Boundary</w:t>
            </w:r>
          </w:p>
        </w:tc>
      </w:tr>
      <w:tr>
        <w:trPr>
          <w:cantSplit/>
        </w:trPr>
        <w:tc>
          <w:tcPr>
            <w:tcW w:type="dxa" w:w="3816"/>
            <w:vAlign w:val="center"/>
          </w:tcPr>
          <w:p>
            <w:pPr>
              <w:spacing w:after="0" w:line="228" w:lineRule="auto"/>
            </w:pPr>
            <w:r>
              <w:rPr>
                <w:sz w:val="15"/>
              </w:rPr>
            </w:r>
            <w:r>
              <w:rPr>
                <w:rFonts w:ascii="Aptos" w:hAnsi="Aptos"/>
                <w:b w:val="0"/>
                <w:sz w:val="15"/>
              </w:rPr>
              <w:t>F01 Smart Plant Care</w:t>
            </w:r>
          </w:p>
        </w:tc>
        <w:tc>
          <w:tcPr>
            <w:tcW w:type="dxa" w:w="6552"/>
            <w:vAlign w:val="center"/>
          </w:tcPr>
          <w:p>
            <w:pPr>
              <w:spacing w:after="0" w:line="228" w:lineRule="auto"/>
            </w:pPr>
            <w:r>
              <w:rPr>
                <w:sz w:val="15"/>
              </w:rPr>
            </w:r>
            <w:r>
              <w:rPr>
                <w:rFonts w:ascii="Aptos" w:hAnsi="Aptos"/>
                <w:b w:val="0"/>
                <w:sz w:val="15"/>
              </w:rPr>
              <w:t>Plant-specific care and watering remain separate.</w:t>
            </w:r>
          </w:p>
        </w:tc>
      </w:tr>
      <w:tr>
        <w:trPr>
          <w:cantSplit/>
        </w:trPr>
        <w:tc>
          <w:tcPr>
            <w:tcW w:type="dxa" w:w="3816"/>
            <w:vAlign w:val="center"/>
          </w:tcPr>
          <w:p>
            <w:pPr>
              <w:spacing w:after="0" w:line="228" w:lineRule="auto"/>
            </w:pPr>
            <w:r>
              <w:rPr>
                <w:sz w:val="15"/>
              </w:rPr>
            </w:r>
            <w:r>
              <w:rPr>
                <w:rFonts w:ascii="Aptos" w:hAnsi="Aptos"/>
                <w:b w:val="0"/>
                <w:sz w:val="15"/>
              </w:rPr>
              <w:t>F02 Weather-Aware Gardening</w:t>
            </w:r>
          </w:p>
        </w:tc>
        <w:tc>
          <w:tcPr>
            <w:tcW w:type="dxa" w:w="6552"/>
            <w:vAlign w:val="center"/>
          </w:tcPr>
          <w:p>
            <w:pPr>
              <w:spacing w:after="0" w:line="228" w:lineRule="auto"/>
            </w:pPr>
            <w:r>
              <w:rPr>
                <w:sz w:val="15"/>
              </w:rPr>
            </w:r>
            <w:r>
              <w:rPr>
                <w:rFonts w:ascii="Aptos" w:hAnsi="Aptos"/>
                <w:b w:val="0"/>
                <w:sz w:val="15"/>
              </w:rPr>
              <w:t>Weather-aware context remains separate.</w:t>
            </w:r>
          </w:p>
        </w:tc>
      </w:tr>
      <w:tr>
        <w:trPr>
          <w:cantSplit/>
        </w:trPr>
        <w:tc>
          <w:tcPr>
            <w:tcW w:type="dxa" w:w="3816"/>
            <w:vAlign w:val="center"/>
          </w:tcPr>
          <w:p>
            <w:pPr>
              <w:spacing w:after="0" w:line="228" w:lineRule="auto"/>
            </w:pPr>
            <w:r>
              <w:rPr>
                <w:sz w:val="15"/>
              </w:rPr>
            </w:r>
            <w:r>
              <w:rPr>
                <w:rFonts w:ascii="Aptos" w:hAnsi="Aptos"/>
                <w:b w:val="0"/>
                <w:sz w:val="15"/>
              </w:rPr>
              <w:t>F03 Plant Health and Protection</w:t>
            </w:r>
          </w:p>
        </w:tc>
        <w:tc>
          <w:tcPr>
            <w:tcW w:type="dxa" w:w="6552"/>
            <w:vAlign w:val="center"/>
          </w:tcPr>
          <w:p>
            <w:pPr>
              <w:spacing w:after="0" w:line="228" w:lineRule="auto"/>
            </w:pPr>
            <w:r>
              <w:rPr>
                <w:sz w:val="15"/>
              </w:rPr>
            </w:r>
            <w:r>
              <w:rPr>
                <w:rFonts w:ascii="Aptos" w:hAnsi="Aptos"/>
                <w:b w:val="0"/>
                <w:sz w:val="15"/>
              </w:rPr>
              <w:t>Plant-health identification and treatment remain separate.</w:t>
            </w:r>
          </w:p>
        </w:tc>
      </w:tr>
      <w:tr>
        <w:trPr>
          <w:cantSplit/>
        </w:trPr>
        <w:tc>
          <w:tcPr>
            <w:tcW w:type="dxa" w:w="3816"/>
            <w:vAlign w:val="center"/>
          </w:tcPr>
          <w:p>
            <w:pPr>
              <w:spacing w:after="0" w:line="228" w:lineRule="auto"/>
            </w:pPr>
            <w:r>
              <w:rPr>
                <w:sz w:val="15"/>
              </w:rPr>
            </w:r>
            <w:r>
              <w:rPr>
                <w:rFonts w:ascii="Aptos" w:hAnsi="Aptos"/>
                <w:b w:val="0"/>
                <w:sz w:val="15"/>
              </w:rPr>
              <w:t>F04 Global Plant Intelligence</w:t>
            </w:r>
          </w:p>
        </w:tc>
        <w:tc>
          <w:tcPr>
            <w:tcW w:type="dxa" w:w="6552"/>
            <w:vAlign w:val="center"/>
          </w:tcPr>
          <w:p>
            <w:pPr>
              <w:spacing w:after="0" w:line="228" w:lineRule="auto"/>
            </w:pPr>
            <w:r>
              <w:rPr>
                <w:sz w:val="15"/>
              </w:rPr>
            </w:r>
            <w:r>
              <w:rPr>
                <w:rFonts w:ascii="Aptos" w:hAnsi="Aptos"/>
                <w:b w:val="0"/>
                <w:sz w:val="15"/>
              </w:rPr>
              <w:t>Regional plant intelligence remains separate.</w:t>
            </w:r>
          </w:p>
        </w:tc>
      </w:tr>
      <w:tr>
        <w:trPr>
          <w:cantSplit/>
        </w:trPr>
        <w:tc>
          <w:tcPr>
            <w:tcW w:type="dxa" w:w="3816"/>
            <w:vAlign w:val="center"/>
          </w:tcPr>
          <w:p>
            <w:pPr>
              <w:spacing w:after="0" w:line="228" w:lineRule="auto"/>
            </w:pPr>
            <w:r>
              <w:rPr>
                <w:sz w:val="15"/>
              </w:rPr>
            </w:r>
            <w:r>
              <w:rPr>
                <w:rFonts w:ascii="Aptos" w:hAnsi="Aptos"/>
                <w:b w:val="0"/>
                <w:sz w:val="15"/>
              </w:rPr>
              <w:t>F06 Platform Scalability and Global Readiness</w:t>
            </w:r>
          </w:p>
        </w:tc>
        <w:tc>
          <w:tcPr>
            <w:tcW w:type="dxa" w:w="6552"/>
            <w:vAlign w:val="center"/>
          </w:tcPr>
          <w:p>
            <w:pPr>
              <w:spacing w:after="0" w:line="228" w:lineRule="auto"/>
            </w:pPr>
            <w:r>
              <w:rPr>
                <w:sz w:val="15"/>
              </w:rPr>
            </w:r>
            <w:r>
              <w:rPr>
                <w:rFonts w:ascii="Aptos" w:hAnsi="Aptos"/>
                <w:b w:val="0"/>
                <w:sz w:val="15"/>
              </w:rPr>
              <w:t>Broader platform scale and global-readiness assessment remains separate.</w:t>
            </w:r>
          </w:p>
        </w:tc>
      </w:tr>
    </w:tbl>
    <w:p>
      <w:pPr>
        <w:spacing w:after="40"/>
      </w:pPr>
    </w:p>
    <w:p>
      <w:pPr>
        <w:spacing w:after="40" w:line="240" w:lineRule="auto"/>
      </w:pPr>
      <w:r>
        <w:t>Personalised reminders, automated decisions and inferred sensitive attributes remain explicitly excluded from F05 translation.</w:t>
      </w:r>
    </w:p>
    <w:p>
      <w:pPr>
        <w:pStyle w:val="Heading1"/>
        <w:pageBreakBefore/>
        <w:spacing w:before="80" w:after="30"/>
      </w:pPr>
      <w:r>
        <w:t>5. Governance and Data Governance Signal</w:t>
      </w:r>
    </w:p>
    <w:p>
      <w:pPr>
        <w:spacing w:after="40" w:line="240" w:lineRule="auto"/>
      </w:pPr>
      <w:r>
        <w:t>The strongest F05 signal is disciplined personalisation governance. I kept consent, privacy, data minimisation, transparency, user control, lifecycle and value justification as explicit progression conditions rather than treating them as implementation details.</w:t>
      </w:r>
    </w:p>
    <w:tbl>
      <w:tblPr>
        <w:tblStyle w:val="TableGrid"/>
        <w:tblW w:type="auto" w:w="0"/>
        <w:jc w:val="center"/>
        <w:tblLook w:firstColumn="1" w:firstRow="1" w:lastColumn="0" w:lastRow="0" w:noHBand="0" w:noVBand="1" w:val="04A0"/>
      </w:tblPr>
      <w:tblGrid>
        <w:gridCol w:w="5184"/>
        <w:gridCol w:w="5184"/>
      </w:tblGrid>
      <w:tr>
        <w:trPr>
          <w:cantSplit/>
        </w:trPr>
        <w:tc>
          <w:tcPr>
            <w:tcW w:type="dxa" w:w="3816"/>
            <w:vAlign w:val="center"/>
            <w:shd w:fill="D9EAF7"/>
          </w:tcPr>
          <w:p>
            <w:pPr>
              <w:spacing w:after="0" w:line="228" w:lineRule="auto"/>
            </w:pPr>
            <w:r>
              <w:rPr>
                <w:sz w:val="15"/>
              </w:rPr>
            </w:r>
            <w:r>
              <w:rPr>
                <w:rFonts w:ascii="Aptos" w:hAnsi="Aptos"/>
                <w:b/>
                <w:sz w:val="15"/>
              </w:rPr>
              <w:t>Domain</w:t>
            </w:r>
          </w:p>
        </w:tc>
        <w:tc>
          <w:tcPr>
            <w:tcW w:type="dxa" w:w="6552"/>
            <w:vAlign w:val="center"/>
            <w:shd w:fill="D9EAF7"/>
          </w:tcPr>
          <w:p>
            <w:pPr>
              <w:spacing w:after="0" w:line="228" w:lineRule="auto"/>
            </w:pPr>
            <w:r>
              <w:rPr>
                <w:sz w:val="15"/>
              </w:rPr>
            </w:r>
            <w:r>
              <w:rPr>
                <w:rFonts w:ascii="Aptos" w:hAnsi="Aptos"/>
                <w:b/>
                <w:sz w:val="15"/>
              </w:rPr>
              <w:t>Current position</w:t>
            </w:r>
          </w:p>
        </w:tc>
      </w:tr>
      <w:tr>
        <w:trPr>
          <w:cantSplit/>
        </w:trPr>
        <w:tc>
          <w:tcPr>
            <w:tcW w:type="dxa" w:w="3816"/>
            <w:vAlign w:val="center"/>
          </w:tcPr>
          <w:p>
            <w:pPr>
              <w:spacing w:after="0" w:line="228" w:lineRule="auto"/>
            </w:pPr>
            <w:r>
              <w:rPr>
                <w:sz w:val="15"/>
              </w:rPr>
            </w:r>
            <w:r>
              <w:rPr>
                <w:rFonts w:ascii="Aptos" w:hAnsi="Aptos"/>
                <w:b w:val="0"/>
                <w:sz w:val="15"/>
              </w:rPr>
              <w:t>Consent and privacy</w:t>
            </w:r>
          </w:p>
        </w:tc>
        <w:tc>
          <w:tcPr>
            <w:tcW w:type="dxa" w:w="6552"/>
            <w:vAlign w:val="center"/>
          </w:tcPr>
          <w:p>
            <w:pPr>
              <w:spacing w:after="0" w:line="228" w:lineRule="auto"/>
            </w:pPr>
            <w:r>
              <w:rPr>
                <w:sz w:val="15"/>
              </w:rPr>
            </w:r>
            <w:r>
              <w:rPr>
                <w:rFonts w:ascii="Aptos" w:hAnsi="Aptos"/>
                <w:b w:val="0"/>
                <w:sz w:val="15"/>
              </w:rPr>
              <w:t>Open and gated before progression</w:t>
            </w:r>
          </w:p>
        </w:tc>
      </w:tr>
      <w:tr>
        <w:trPr>
          <w:cantSplit/>
        </w:trPr>
        <w:tc>
          <w:tcPr>
            <w:tcW w:type="dxa" w:w="3816"/>
            <w:vAlign w:val="center"/>
          </w:tcPr>
          <w:p>
            <w:pPr>
              <w:spacing w:after="0" w:line="228" w:lineRule="auto"/>
            </w:pPr>
            <w:r>
              <w:rPr>
                <w:sz w:val="15"/>
              </w:rPr>
            </w:r>
            <w:r>
              <w:rPr>
                <w:rFonts w:ascii="Aptos" w:hAnsi="Aptos"/>
                <w:b w:val="0"/>
                <w:sz w:val="15"/>
              </w:rPr>
              <w:t>Data model and minimisation</w:t>
            </w:r>
          </w:p>
        </w:tc>
        <w:tc>
          <w:tcPr>
            <w:tcW w:type="dxa" w:w="6552"/>
            <w:vAlign w:val="center"/>
          </w:tcPr>
          <w:p>
            <w:pPr>
              <w:spacing w:after="0" w:line="228" w:lineRule="auto"/>
            </w:pPr>
            <w:r>
              <w:rPr>
                <w:sz w:val="15"/>
              </w:rPr>
            </w:r>
            <w:r>
              <w:rPr>
                <w:rFonts w:ascii="Aptos" w:hAnsi="Aptos"/>
                <w:b w:val="0"/>
                <w:sz w:val="15"/>
              </w:rPr>
              <w:t>Open; minimum necessary data still to be defined</w:t>
            </w:r>
          </w:p>
        </w:tc>
      </w:tr>
      <w:tr>
        <w:trPr>
          <w:cantSplit/>
        </w:trPr>
        <w:tc>
          <w:tcPr>
            <w:tcW w:type="dxa" w:w="3816"/>
            <w:vAlign w:val="center"/>
          </w:tcPr>
          <w:p>
            <w:pPr>
              <w:spacing w:after="0" w:line="228" w:lineRule="auto"/>
            </w:pPr>
            <w:r>
              <w:rPr>
                <w:sz w:val="15"/>
              </w:rPr>
            </w:r>
            <w:r>
              <w:rPr>
                <w:rFonts w:ascii="Aptos" w:hAnsi="Aptos"/>
                <w:b w:val="0"/>
                <w:sz w:val="15"/>
              </w:rPr>
              <w:t>Personalisation logic</w:t>
            </w:r>
          </w:p>
        </w:tc>
        <w:tc>
          <w:tcPr>
            <w:tcW w:type="dxa" w:w="6552"/>
            <w:vAlign w:val="center"/>
          </w:tcPr>
          <w:p>
            <w:pPr>
              <w:spacing w:after="0" w:line="228" w:lineRule="auto"/>
            </w:pPr>
            <w:r>
              <w:rPr>
                <w:sz w:val="15"/>
              </w:rPr>
            </w:r>
            <w:r>
              <w:rPr>
                <w:rFonts w:ascii="Aptos" w:hAnsi="Aptos"/>
                <w:b w:val="0"/>
                <w:sz w:val="15"/>
              </w:rPr>
              <w:t>Open; bounded and explainable logic required</w:t>
            </w:r>
          </w:p>
        </w:tc>
      </w:tr>
      <w:tr>
        <w:trPr>
          <w:cantSplit/>
        </w:trPr>
        <w:tc>
          <w:tcPr>
            <w:tcW w:type="dxa" w:w="3816"/>
            <w:vAlign w:val="center"/>
          </w:tcPr>
          <w:p>
            <w:pPr>
              <w:spacing w:after="0" w:line="228" w:lineRule="auto"/>
            </w:pPr>
            <w:r>
              <w:rPr>
                <w:sz w:val="15"/>
              </w:rPr>
            </w:r>
            <w:r>
              <w:rPr>
                <w:rFonts w:ascii="Aptos" w:hAnsi="Aptos"/>
                <w:b w:val="0"/>
                <w:sz w:val="15"/>
              </w:rPr>
              <w:t>Transparency and control</w:t>
            </w:r>
          </w:p>
        </w:tc>
        <w:tc>
          <w:tcPr>
            <w:tcW w:type="dxa" w:w="6552"/>
            <w:vAlign w:val="center"/>
          </w:tcPr>
          <w:p>
            <w:pPr>
              <w:spacing w:after="0" w:line="228" w:lineRule="auto"/>
            </w:pPr>
            <w:r>
              <w:rPr>
                <w:sz w:val="15"/>
              </w:rPr>
            </w:r>
            <w:r>
              <w:rPr>
                <w:rFonts w:ascii="Aptos" w:hAnsi="Aptos"/>
                <w:b w:val="0"/>
                <w:sz w:val="15"/>
              </w:rPr>
              <w:t>Open; review, change, reset or disable behaviour required</w:t>
            </w:r>
          </w:p>
        </w:tc>
      </w:tr>
      <w:tr>
        <w:trPr>
          <w:cantSplit/>
        </w:trPr>
        <w:tc>
          <w:tcPr>
            <w:tcW w:type="dxa" w:w="3816"/>
            <w:vAlign w:val="center"/>
          </w:tcPr>
          <w:p>
            <w:pPr>
              <w:spacing w:after="0" w:line="228" w:lineRule="auto"/>
            </w:pPr>
            <w:r>
              <w:rPr>
                <w:sz w:val="15"/>
              </w:rPr>
            </w:r>
            <w:r>
              <w:rPr>
                <w:rFonts w:ascii="Aptos" w:hAnsi="Aptos"/>
                <w:b w:val="0"/>
                <w:sz w:val="15"/>
              </w:rPr>
              <w:t>Data lifecycle</w:t>
            </w:r>
          </w:p>
        </w:tc>
        <w:tc>
          <w:tcPr>
            <w:tcW w:type="dxa" w:w="6552"/>
            <w:vAlign w:val="center"/>
          </w:tcPr>
          <w:p>
            <w:pPr>
              <w:spacing w:after="0" w:line="228" w:lineRule="auto"/>
            </w:pPr>
            <w:r>
              <w:rPr>
                <w:sz w:val="15"/>
              </w:rPr>
            </w:r>
            <w:r>
              <w:rPr>
                <w:rFonts w:ascii="Aptos" w:hAnsi="Aptos"/>
                <w:b w:val="0"/>
                <w:sz w:val="15"/>
              </w:rPr>
              <w:t>Open; creation, access, retention, change and deletion model required</w:t>
            </w:r>
          </w:p>
        </w:tc>
      </w:tr>
      <w:tr>
        <w:trPr>
          <w:cantSplit/>
        </w:trPr>
        <w:tc>
          <w:tcPr>
            <w:tcW w:type="dxa" w:w="3816"/>
            <w:vAlign w:val="center"/>
          </w:tcPr>
          <w:p>
            <w:pPr>
              <w:spacing w:after="0" w:line="228" w:lineRule="auto"/>
            </w:pPr>
            <w:r>
              <w:rPr>
                <w:sz w:val="15"/>
              </w:rPr>
            </w:r>
            <w:r>
              <w:rPr>
                <w:rFonts w:ascii="Aptos" w:hAnsi="Aptos"/>
                <w:b w:val="0"/>
                <w:sz w:val="15"/>
              </w:rPr>
              <w:t>Privacy / Data Governance expertise</w:t>
            </w:r>
          </w:p>
        </w:tc>
        <w:tc>
          <w:tcPr>
            <w:tcW w:type="dxa" w:w="6552"/>
            <w:vAlign w:val="center"/>
          </w:tcPr>
          <w:p>
            <w:pPr>
              <w:spacing w:after="0" w:line="228" w:lineRule="auto"/>
            </w:pPr>
            <w:r>
              <w:rPr>
                <w:sz w:val="15"/>
              </w:rPr>
            </w:r>
            <w:r>
              <w:rPr>
                <w:rFonts w:ascii="Aptos" w:hAnsi="Aptos"/>
                <w:b w:val="0"/>
                <w:sz w:val="15"/>
              </w:rPr>
              <w:t>Open governance dependency</w:t>
            </w:r>
          </w:p>
        </w:tc>
      </w:tr>
      <w:tr>
        <w:trPr>
          <w:cantSplit/>
        </w:trPr>
        <w:tc>
          <w:tcPr>
            <w:tcW w:type="dxa" w:w="3816"/>
            <w:vAlign w:val="center"/>
          </w:tcPr>
          <w:p>
            <w:pPr>
              <w:spacing w:after="0" w:line="228" w:lineRule="auto"/>
            </w:pPr>
            <w:r>
              <w:rPr>
                <w:sz w:val="15"/>
              </w:rPr>
            </w:r>
            <w:r>
              <w:rPr>
                <w:rFonts w:ascii="Aptos" w:hAnsi="Aptos"/>
                <w:b w:val="0"/>
                <w:sz w:val="15"/>
              </w:rPr>
              <w:t>UX / Content expertise</w:t>
            </w:r>
          </w:p>
        </w:tc>
        <w:tc>
          <w:tcPr>
            <w:tcW w:type="dxa" w:w="6552"/>
            <w:vAlign w:val="center"/>
          </w:tcPr>
          <w:p>
            <w:pPr>
              <w:spacing w:after="0" w:line="228" w:lineRule="auto"/>
            </w:pPr>
            <w:r>
              <w:rPr>
                <w:sz w:val="15"/>
              </w:rPr>
            </w:r>
            <w:r>
              <w:rPr>
                <w:rFonts w:ascii="Aptos" w:hAnsi="Aptos"/>
                <w:b w:val="0"/>
                <w:sz w:val="15"/>
              </w:rPr>
              <w:t>Open governance dependency</w:t>
            </w:r>
          </w:p>
        </w:tc>
      </w:tr>
      <w:tr>
        <w:trPr>
          <w:cantSplit/>
        </w:trPr>
        <w:tc>
          <w:tcPr>
            <w:tcW w:type="dxa" w:w="3816"/>
            <w:vAlign w:val="center"/>
          </w:tcPr>
          <w:p>
            <w:pPr>
              <w:spacing w:after="0" w:line="228" w:lineRule="auto"/>
            </w:pPr>
            <w:r>
              <w:rPr>
                <w:sz w:val="15"/>
              </w:rPr>
            </w:r>
            <w:r>
              <w:rPr>
                <w:rFonts w:ascii="Aptos" w:hAnsi="Aptos"/>
                <w:b w:val="0"/>
                <w:sz w:val="15"/>
              </w:rPr>
              <w:t>Value and priority</w:t>
            </w:r>
          </w:p>
        </w:tc>
        <w:tc>
          <w:tcPr>
            <w:tcW w:type="dxa" w:w="6552"/>
            <w:vAlign w:val="center"/>
          </w:tcPr>
          <w:p>
            <w:pPr>
              <w:spacing w:after="0" w:line="228" w:lineRule="auto"/>
            </w:pPr>
            <w:r>
              <w:rPr>
                <w:sz w:val="15"/>
              </w:rPr>
            </w:r>
            <w:r>
              <w:rPr>
                <w:rFonts w:ascii="Aptos" w:hAnsi="Aptos"/>
                <w:b w:val="0"/>
                <w:sz w:val="15"/>
              </w:rPr>
              <w:t>Evidence-based GreenSphere decision required</w:t>
            </w:r>
          </w:p>
        </w:tc>
      </w:tr>
    </w:tbl>
    <w:p>
      <w:pPr>
        <w:spacing w:after="40"/>
      </w:pPr>
    </w:p>
    <w:p>
      <w:pPr>
        <w:pStyle w:val="Heading1"/>
        <w:spacing w:before="80" w:after="30"/>
      </w:pPr>
      <w:r>
        <w:t>6. Nine-Gate Progression Bar</w:t>
      </w:r>
    </w:p>
    <w:tbl>
      <w:tblPr>
        <w:tblStyle w:val="TableGrid"/>
        <w:tblW w:type="auto" w:w="0"/>
        <w:jc w:val="center"/>
        <w:tblLook w:firstColumn="1" w:firstRow="1" w:lastColumn="0" w:lastRow="0" w:noHBand="0" w:noVBand="1" w:val="04A0"/>
      </w:tblPr>
      <w:tblGrid>
        <w:gridCol w:w="5184"/>
        <w:gridCol w:w="5184"/>
      </w:tblGrid>
      <w:tr>
        <w:trPr>
          <w:cantSplit/>
        </w:trPr>
        <w:tc>
          <w:tcPr>
            <w:tcW w:type="dxa" w:w="4392"/>
            <w:vAlign w:val="center"/>
            <w:shd w:fill="D9EAF7"/>
          </w:tcPr>
          <w:p>
            <w:pPr>
              <w:spacing w:after="0" w:line="228" w:lineRule="auto"/>
            </w:pPr>
            <w:r>
              <w:rPr>
                <w:sz w:val="15"/>
              </w:rPr>
            </w:r>
            <w:r>
              <w:rPr>
                <w:rFonts w:ascii="Aptos" w:hAnsi="Aptos"/>
                <w:b/>
                <w:sz w:val="15"/>
              </w:rPr>
              <w:t>Gate</w:t>
            </w:r>
          </w:p>
        </w:tc>
        <w:tc>
          <w:tcPr>
            <w:tcW w:type="dxa" w:w="5976"/>
            <w:vAlign w:val="center"/>
            <w:shd w:fill="D9EAF7"/>
          </w:tcPr>
          <w:p>
            <w:pPr>
              <w:spacing w:after="0" w:line="228" w:lineRule="auto"/>
            </w:pPr>
            <w:r>
              <w:rPr>
                <w:sz w:val="15"/>
              </w:rPr>
            </w:r>
            <w:r>
              <w:rPr>
                <w:rFonts w:ascii="Aptos" w:hAnsi="Aptos"/>
                <w:b/>
                <w:sz w:val="15"/>
              </w:rPr>
              <w:t>Portfolio status</w:t>
            </w:r>
          </w:p>
        </w:tc>
      </w:tr>
      <w:tr>
        <w:trPr>
          <w:cantSplit/>
        </w:trPr>
        <w:tc>
          <w:tcPr>
            <w:tcW w:type="dxa" w:w="4392"/>
            <w:vAlign w:val="center"/>
          </w:tcPr>
          <w:p>
            <w:pPr>
              <w:spacing w:after="0" w:line="228" w:lineRule="auto"/>
            </w:pPr>
            <w:r>
              <w:rPr>
                <w:sz w:val="15"/>
              </w:rPr>
            </w:r>
            <w:r>
              <w:rPr>
                <w:rFonts w:ascii="Aptos" w:hAnsi="Aptos"/>
                <w:b w:val="0"/>
                <w:sz w:val="15"/>
              </w:rPr>
              <w:t>1. Problem validation</w:t>
            </w:r>
          </w:p>
        </w:tc>
        <w:tc>
          <w:tcPr>
            <w:tcW w:type="dxa" w:w="5976"/>
            <w:vAlign w:val="center"/>
          </w:tcPr>
          <w:p>
            <w:pPr>
              <w:spacing w:after="0" w:line="228" w:lineRule="auto"/>
            </w:pPr>
            <w:r>
              <w:rPr>
                <w:sz w:val="15"/>
              </w:rPr>
            </w:r>
            <w:r>
              <w:rPr>
                <w:rFonts w:ascii="Aptos" w:hAnsi="Aptos"/>
                <w:b w:val="0"/>
                <w:sz w:val="15"/>
              </w:rPr>
              <w:t>Open</w:t>
            </w:r>
          </w:p>
        </w:tc>
      </w:tr>
      <w:tr>
        <w:trPr>
          <w:cantSplit/>
        </w:trPr>
        <w:tc>
          <w:tcPr>
            <w:tcW w:type="dxa" w:w="4392"/>
            <w:vAlign w:val="center"/>
          </w:tcPr>
          <w:p>
            <w:pPr>
              <w:spacing w:after="0" w:line="228" w:lineRule="auto"/>
            </w:pPr>
            <w:r>
              <w:rPr>
                <w:sz w:val="15"/>
              </w:rPr>
            </w:r>
            <w:r>
              <w:rPr>
                <w:rFonts w:ascii="Aptos" w:hAnsi="Aptos"/>
                <w:b w:val="0"/>
                <w:sz w:val="15"/>
              </w:rPr>
              <w:t>2. Value proposition</w:t>
            </w:r>
          </w:p>
        </w:tc>
        <w:tc>
          <w:tcPr>
            <w:tcW w:type="dxa" w:w="5976"/>
            <w:vAlign w:val="center"/>
          </w:tcPr>
          <w:p>
            <w:pPr>
              <w:spacing w:after="0" w:line="228" w:lineRule="auto"/>
            </w:pPr>
            <w:r>
              <w:rPr>
                <w:sz w:val="15"/>
              </w:rPr>
            </w:r>
            <w:r>
              <w:rPr>
                <w:rFonts w:ascii="Aptos" w:hAnsi="Aptos"/>
                <w:b w:val="0"/>
                <w:sz w:val="15"/>
              </w:rPr>
              <w:t>Open</w:t>
            </w:r>
          </w:p>
        </w:tc>
      </w:tr>
      <w:tr>
        <w:trPr>
          <w:cantSplit/>
        </w:trPr>
        <w:tc>
          <w:tcPr>
            <w:tcW w:type="dxa" w:w="4392"/>
            <w:vAlign w:val="center"/>
          </w:tcPr>
          <w:p>
            <w:pPr>
              <w:spacing w:after="0" w:line="228" w:lineRule="auto"/>
            </w:pPr>
            <w:r>
              <w:rPr>
                <w:sz w:val="15"/>
              </w:rPr>
            </w:r>
            <w:r>
              <w:rPr>
                <w:rFonts w:ascii="Aptos" w:hAnsi="Aptos"/>
                <w:b w:val="0"/>
                <w:sz w:val="15"/>
              </w:rPr>
              <w:t>3. Consent and privacy</w:t>
            </w:r>
          </w:p>
        </w:tc>
        <w:tc>
          <w:tcPr>
            <w:tcW w:type="dxa" w:w="5976"/>
            <w:vAlign w:val="center"/>
          </w:tcPr>
          <w:p>
            <w:pPr>
              <w:spacing w:after="0" w:line="228" w:lineRule="auto"/>
            </w:pPr>
            <w:r>
              <w:rPr>
                <w:sz w:val="15"/>
              </w:rPr>
            </w:r>
            <w:r>
              <w:rPr>
                <w:rFonts w:ascii="Aptos" w:hAnsi="Aptos"/>
                <w:b w:val="0"/>
                <w:sz w:val="15"/>
              </w:rPr>
              <w:t>Open</w:t>
            </w:r>
          </w:p>
        </w:tc>
      </w:tr>
      <w:tr>
        <w:trPr>
          <w:cantSplit/>
        </w:trPr>
        <w:tc>
          <w:tcPr>
            <w:tcW w:type="dxa" w:w="4392"/>
            <w:vAlign w:val="center"/>
          </w:tcPr>
          <w:p>
            <w:pPr>
              <w:spacing w:after="0" w:line="228" w:lineRule="auto"/>
            </w:pPr>
            <w:r>
              <w:rPr>
                <w:sz w:val="15"/>
              </w:rPr>
            </w:r>
            <w:r>
              <w:rPr>
                <w:rFonts w:ascii="Aptos" w:hAnsi="Aptos"/>
                <w:b w:val="0"/>
                <w:sz w:val="15"/>
              </w:rPr>
              <w:t>4. Data model</w:t>
            </w:r>
          </w:p>
        </w:tc>
        <w:tc>
          <w:tcPr>
            <w:tcW w:type="dxa" w:w="5976"/>
            <w:vAlign w:val="center"/>
          </w:tcPr>
          <w:p>
            <w:pPr>
              <w:spacing w:after="0" w:line="228" w:lineRule="auto"/>
            </w:pPr>
            <w:r>
              <w:rPr>
                <w:sz w:val="15"/>
              </w:rPr>
            </w:r>
            <w:r>
              <w:rPr>
                <w:rFonts w:ascii="Aptos" w:hAnsi="Aptos"/>
                <w:b w:val="0"/>
                <w:sz w:val="15"/>
              </w:rPr>
              <w:t>Open</w:t>
            </w:r>
          </w:p>
        </w:tc>
      </w:tr>
      <w:tr>
        <w:trPr>
          <w:cantSplit/>
        </w:trPr>
        <w:tc>
          <w:tcPr>
            <w:tcW w:type="dxa" w:w="4392"/>
            <w:vAlign w:val="center"/>
          </w:tcPr>
          <w:p>
            <w:pPr>
              <w:spacing w:after="0" w:line="228" w:lineRule="auto"/>
            </w:pPr>
            <w:r>
              <w:rPr>
                <w:sz w:val="15"/>
              </w:rPr>
            </w:r>
            <w:r>
              <w:rPr>
                <w:rFonts w:ascii="Aptos" w:hAnsi="Aptos"/>
                <w:b w:val="0"/>
                <w:sz w:val="15"/>
              </w:rPr>
              <w:t>5. Personalisation logic</w:t>
            </w:r>
          </w:p>
        </w:tc>
        <w:tc>
          <w:tcPr>
            <w:tcW w:type="dxa" w:w="5976"/>
            <w:vAlign w:val="center"/>
          </w:tcPr>
          <w:p>
            <w:pPr>
              <w:spacing w:after="0" w:line="228" w:lineRule="auto"/>
            </w:pPr>
            <w:r>
              <w:rPr>
                <w:sz w:val="15"/>
              </w:rPr>
            </w:r>
            <w:r>
              <w:rPr>
                <w:rFonts w:ascii="Aptos" w:hAnsi="Aptos"/>
                <w:b w:val="0"/>
                <w:sz w:val="15"/>
              </w:rPr>
              <w:t>Open</w:t>
            </w:r>
          </w:p>
        </w:tc>
      </w:tr>
      <w:tr>
        <w:trPr>
          <w:cantSplit/>
        </w:trPr>
        <w:tc>
          <w:tcPr>
            <w:tcW w:type="dxa" w:w="4392"/>
            <w:vAlign w:val="center"/>
          </w:tcPr>
          <w:p>
            <w:pPr>
              <w:spacing w:after="0" w:line="228" w:lineRule="auto"/>
            </w:pPr>
            <w:r>
              <w:rPr>
                <w:sz w:val="15"/>
              </w:rPr>
            </w:r>
            <w:r>
              <w:rPr>
                <w:rFonts w:ascii="Aptos" w:hAnsi="Aptos"/>
                <w:b w:val="0"/>
                <w:sz w:val="15"/>
              </w:rPr>
              <w:t>6. Transparency and control</w:t>
            </w:r>
          </w:p>
        </w:tc>
        <w:tc>
          <w:tcPr>
            <w:tcW w:type="dxa" w:w="5976"/>
            <w:vAlign w:val="center"/>
          </w:tcPr>
          <w:p>
            <w:pPr>
              <w:spacing w:after="0" w:line="228" w:lineRule="auto"/>
            </w:pPr>
            <w:r>
              <w:rPr>
                <w:sz w:val="15"/>
              </w:rPr>
            </w:r>
            <w:r>
              <w:rPr>
                <w:rFonts w:ascii="Aptos" w:hAnsi="Aptos"/>
                <w:b w:val="0"/>
                <w:sz w:val="15"/>
              </w:rPr>
              <w:t>Open</w:t>
            </w:r>
          </w:p>
        </w:tc>
      </w:tr>
      <w:tr>
        <w:trPr>
          <w:cantSplit/>
        </w:trPr>
        <w:tc>
          <w:tcPr>
            <w:tcW w:type="dxa" w:w="4392"/>
            <w:vAlign w:val="center"/>
          </w:tcPr>
          <w:p>
            <w:pPr>
              <w:spacing w:after="0" w:line="228" w:lineRule="auto"/>
            </w:pPr>
            <w:r>
              <w:rPr>
                <w:sz w:val="15"/>
              </w:rPr>
            </w:r>
            <w:r>
              <w:rPr>
                <w:rFonts w:ascii="Aptos" w:hAnsi="Aptos"/>
                <w:b w:val="0"/>
                <w:sz w:val="15"/>
              </w:rPr>
              <w:t>7. Data lifecycle</w:t>
            </w:r>
          </w:p>
        </w:tc>
        <w:tc>
          <w:tcPr>
            <w:tcW w:type="dxa" w:w="5976"/>
            <w:vAlign w:val="center"/>
          </w:tcPr>
          <w:p>
            <w:pPr>
              <w:spacing w:after="0" w:line="228" w:lineRule="auto"/>
            </w:pPr>
            <w:r>
              <w:rPr>
                <w:sz w:val="15"/>
              </w:rPr>
            </w:r>
            <w:r>
              <w:rPr>
                <w:rFonts w:ascii="Aptos" w:hAnsi="Aptos"/>
                <w:b w:val="0"/>
                <w:sz w:val="15"/>
              </w:rPr>
              <w:t>Open</w:t>
            </w:r>
          </w:p>
        </w:tc>
      </w:tr>
      <w:tr>
        <w:trPr>
          <w:cantSplit/>
        </w:trPr>
        <w:tc>
          <w:tcPr>
            <w:tcW w:type="dxa" w:w="4392"/>
            <w:vAlign w:val="center"/>
          </w:tcPr>
          <w:p>
            <w:pPr>
              <w:spacing w:after="0" w:line="228" w:lineRule="auto"/>
            </w:pPr>
            <w:r>
              <w:rPr>
                <w:sz w:val="15"/>
              </w:rPr>
            </w:r>
            <w:r>
              <w:rPr>
                <w:rFonts w:ascii="Aptos" w:hAnsi="Aptos"/>
                <w:b w:val="0"/>
                <w:sz w:val="15"/>
              </w:rPr>
              <w:t>8. Acceptance logic</w:t>
            </w:r>
          </w:p>
        </w:tc>
        <w:tc>
          <w:tcPr>
            <w:tcW w:type="dxa" w:w="5976"/>
            <w:vAlign w:val="center"/>
          </w:tcPr>
          <w:p>
            <w:pPr>
              <w:spacing w:after="0" w:line="228" w:lineRule="auto"/>
            </w:pPr>
            <w:r>
              <w:rPr>
                <w:sz w:val="15"/>
              </w:rPr>
            </w:r>
            <w:r>
              <w:rPr>
                <w:rFonts w:ascii="Aptos" w:hAnsi="Aptos"/>
                <w:b w:val="0"/>
                <w:sz w:val="15"/>
              </w:rPr>
              <w:t>Blocked until gates 1 to 7 are sufficiently resolved</w:t>
            </w:r>
          </w:p>
        </w:tc>
      </w:tr>
      <w:tr>
        <w:trPr>
          <w:cantSplit/>
        </w:trPr>
        <w:tc>
          <w:tcPr>
            <w:tcW w:type="dxa" w:w="4392"/>
            <w:vAlign w:val="center"/>
          </w:tcPr>
          <w:p>
            <w:pPr>
              <w:spacing w:after="0" w:line="228" w:lineRule="auto"/>
            </w:pPr>
            <w:r>
              <w:rPr>
                <w:sz w:val="15"/>
              </w:rPr>
            </w:r>
            <w:r>
              <w:rPr>
                <w:rFonts w:ascii="Aptos" w:hAnsi="Aptos"/>
                <w:b w:val="0"/>
                <w:sz w:val="15"/>
              </w:rPr>
              <w:t>9. Value and priority</w:t>
            </w:r>
          </w:p>
        </w:tc>
        <w:tc>
          <w:tcPr>
            <w:tcW w:type="dxa" w:w="5976"/>
            <w:vAlign w:val="center"/>
          </w:tcPr>
          <w:p>
            <w:pPr>
              <w:spacing w:after="0" w:line="228" w:lineRule="auto"/>
            </w:pPr>
            <w:r>
              <w:rPr>
                <w:sz w:val="15"/>
              </w:rPr>
            </w:r>
            <w:r>
              <w:rPr>
                <w:rFonts w:ascii="Aptos" w:hAnsi="Aptos"/>
                <w:b w:val="0"/>
                <w:sz w:val="15"/>
              </w:rPr>
              <w:t>Decision required after preceding evidence is established</w:t>
            </w:r>
          </w:p>
        </w:tc>
      </w:tr>
    </w:tbl>
    <w:p>
      <w:pPr>
        <w:spacing w:after="40"/>
      </w:pPr>
    </w:p>
    <w:p>
      <w:pPr>
        <w:pStyle w:val="Heading1"/>
        <w:spacing w:before="80" w:after="30"/>
      </w:pPr>
      <w:r>
        <w:t>7. Evidence and Portfolio Boundary</w:t>
      </w:r>
    </w:p>
    <w:p>
      <w:pPr>
        <w:spacing w:after="40" w:line="240" w:lineRule="auto"/>
      </w:pPr>
      <w:r>
        <w:t>This package demonstrates future-state product discovery, requirements-engineering discipline, data-governance thinking, cross-epic boundary control and honest progression management. It does not claim approved personalisation policy, production use, product acceptance, built functionality, sprint delivery, measured benefits or lawful-compliance approval.</w:t>
      </w:r>
    </w:p>
    <w:p>
      <w:pPr>
        <w:pStyle w:val="Heading1"/>
        <w:spacing w:before="80" w:after="30"/>
      </w:pPr>
      <w:r>
        <w:t>8. Traceability</w:t>
      </w:r>
    </w:p>
    <w:tbl>
      <w:tblPr>
        <w:tblStyle w:val="TableGrid"/>
        <w:tblW w:type="auto" w:w="0"/>
        <w:jc w:val="center"/>
        <w:tblLook w:firstColumn="1" w:firstRow="1" w:lastColumn="0" w:lastRow="0" w:noHBand="0" w:noVBand="1" w:val="04A0"/>
      </w:tblPr>
      <w:tblGrid>
        <w:gridCol w:w="5184"/>
        <w:gridCol w:w="5184"/>
      </w:tblGrid>
      <w:tr>
        <w:trPr>
          <w:cantSplit/>
        </w:trPr>
        <w:tc>
          <w:tcPr>
            <w:tcW w:type="dxa" w:w="3816"/>
            <w:vAlign w:val="center"/>
            <w:shd w:fill="D9EAF7"/>
          </w:tcPr>
          <w:p>
            <w:pPr>
              <w:spacing w:after="0" w:line="228" w:lineRule="auto"/>
            </w:pPr>
            <w:r>
              <w:rPr>
                <w:sz w:val="15"/>
              </w:rPr>
            </w:r>
            <w:r>
              <w:rPr>
                <w:rFonts w:ascii="Aptos" w:hAnsi="Aptos"/>
                <w:b/>
                <w:sz w:val="15"/>
              </w:rPr>
              <w:t>Source</w:t>
            </w:r>
          </w:p>
        </w:tc>
        <w:tc>
          <w:tcPr>
            <w:tcW w:type="dxa" w:w="6552"/>
            <w:vAlign w:val="center"/>
            <w:shd w:fill="D9EAF7"/>
          </w:tcPr>
          <w:p>
            <w:pPr>
              <w:spacing w:after="0" w:line="228" w:lineRule="auto"/>
            </w:pPr>
            <w:r>
              <w:rPr>
                <w:sz w:val="15"/>
              </w:rPr>
            </w:r>
            <w:r>
              <w:rPr>
                <w:rFonts w:ascii="Aptos" w:hAnsi="Aptos"/>
                <w:b/>
                <w:sz w:val="15"/>
              </w:rPr>
              <w:t>Packaging use</w:t>
            </w:r>
          </w:p>
        </w:tc>
      </w:tr>
      <w:tr>
        <w:trPr>
          <w:cantSplit/>
        </w:trPr>
        <w:tc>
          <w:tcPr>
            <w:tcW w:type="dxa" w:w="3816"/>
            <w:vAlign w:val="center"/>
          </w:tcPr>
          <w:p>
            <w:pPr>
              <w:spacing w:after="0" w:line="228" w:lineRule="auto"/>
            </w:pPr>
            <w:r>
              <w:rPr>
                <w:sz w:val="15"/>
              </w:rPr>
            </w:r>
            <w:r>
              <w:rPr>
                <w:rFonts w:ascii="Aptos" w:hAnsi="Aptos"/>
                <w:b w:val="0"/>
                <w:sz w:val="15"/>
              </w:rPr>
              <w:t>Revalidated Product Vision and Capability Map</w:t>
            </w:r>
          </w:p>
        </w:tc>
        <w:tc>
          <w:tcPr>
            <w:tcW w:type="dxa" w:w="6552"/>
            <w:vAlign w:val="center"/>
          </w:tcPr>
          <w:p>
            <w:pPr>
              <w:spacing w:after="0" w:line="228" w:lineRule="auto"/>
            </w:pPr>
            <w:r>
              <w:rPr>
                <w:sz w:val="15"/>
              </w:rPr>
            </w:r>
            <w:r>
              <w:rPr>
                <w:rFonts w:ascii="Aptos" w:hAnsi="Aptos"/>
                <w:b w:val="0"/>
                <w:sz w:val="15"/>
              </w:rPr>
              <w:t>Confirms the F05 opportunity, five-epic boundary, consent, privacy, data-model and value conditions.</w:t>
            </w:r>
          </w:p>
        </w:tc>
      </w:tr>
      <w:tr>
        <w:trPr>
          <w:cantSplit/>
        </w:trPr>
        <w:tc>
          <w:tcPr>
            <w:tcW w:type="dxa" w:w="3816"/>
            <w:vAlign w:val="center"/>
          </w:tcPr>
          <w:p>
            <w:pPr>
              <w:spacing w:after="0" w:line="228" w:lineRule="auto"/>
            </w:pPr>
            <w:r>
              <w:rPr>
                <w:sz w:val="15"/>
              </w:rPr>
            </w:r>
            <w:r>
              <w:rPr>
                <w:rFonts w:ascii="Aptos" w:hAnsi="Aptos"/>
                <w:b w:val="0"/>
                <w:sz w:val="15"/>
              </w:rPr>
              <w:t>F05 Deep Discovery Pass 2</w:t>
            </w:r>
          </w:p>
        </w:tc>
        <w:tc>
          <w:tcPr>
            <w:tcW w:type="dxa" w:w="6552"/>
            <w:vAlign w:val="center"/>
          </w:tcPr>
          <w:p>
            <w:pPr>
              <w:spacing w:after="0" w:line="228" w:lineRule="auto"/>
            </w:pPr>
            <w:r>
              <w:rPr>
                <w:sz w:val="15"/>
              </w:rPr>
            </w:r>
            <w:r>
              <w:rPr>
                <w:rFonts w:ascii="Aptos" w:hAnsi="Aptos"/>
                <w:b w:val="0"/>
                <w:sz w:val="15"/>
              </w:rPr>
              <w:t>Source for the four features, candidate directions, NFR themes, governance questions and nine-gate progression model.</w:t>
            </w:r>
          </w:p>
        </w:tc>
      </w:tr>
      <w:tr>
        <w:trPr>
          <w:cantSplit/>
        </w:trPr>
        <w:tc>
          <w:tcPr>
            <w:tcW w:type="dxa" w:w="3816"/>
            <w:vAlign w:val="center"/>
          </w:tcPr>
          <w:p>
            <w:pPr>
              <w:spacing w:after="0" w:line="228" w:lineRule="auto"/>
            </w:pPr>
            <w:r>
              <w:rPr>
                <w:sz w:val="15"/>
              </w:rPr>
            </w:r>
            <w:r>
              <w:rPr>
                <w:rFonts w:ascii="Aptos" w:hAnsi="Aptos"/>
                <w:b w:val="0"/>
                <w:sz w:val="15"/>
              </w:rPr>
              <w:t>F05 Delivery Translation Pass 3, corrected</w:t>
            </w:r>
          </w:p>
        </w:tc>
        <w:tc>
          <w:tcPr>
            <w:tcW w:type="dxa" w:w="6552"/>
            <w:vAlign w:val="center"/>
          </w:tcPr>
          <w:p>
            <w:pPr>
              <w:spacing w:after="0" w:line="228" w:lineRule="auto"/>
            </w:pPr>
            <w:r>
              <w:rPr>
                <w:sz w:val="15"/>
              </w:rPr>
            </w:r>
            <w:r>
              <w:rPr>
                <w:rFonts w:ascii="Aptos" w:hAnsi="Aptos"/>
                <w:b w:val="0"/>
                <w:sz w:val="15"/>
              </w:rPr>
              <w:t>Source for the constrained delivery shape and the corrected five-epic boundary wording.</w:t>
            </w:r>
          </w:p>
        </w:tc>
      </w:tr>
      <w:tr>
        <w:trPr>
          <w:cantSplit/>
        </w:trPr>
        <w:tc>
          <w:tcPr>
            <w:tcW w:type="dxa" w:w="3816"/>
            <w:vAlign w:val="center"/>
          </w:tcPr>
          <w:p>
            <w:pPr>
              <w:spacing w:after="0" w:line="228" w:lineRule="auto"/>
            </w:pPr>
            <w:r>
              <w:rPr>
                <w:sz w:val="15"/>
              </w:rPr>
            </w:r>
            <w:r>
              <w:rPr>
                <w:rFonts w:ascii="Aptos" w:hAnsi="Aptos"/>
                <w:b w:val="0"/>
                <w:sz w:val="15"/>
              </w:rPr>
              <w:t>F05 Cross-Artifact QA Pass 4</w:t>
            </w:r>
          </w:p>
        </w:tc>
        <w:tc>
          <w:tcPr>
            <w:tcW w:type="dxa" w:w="6552"/>
            <w:vAlign w:val="center"/>
          </w:tcPr>
          <w:p>
            <w:pPr>
              <w:spacing w:after="0" w:line="228" w:lineRule="auto"/>
            </w:pPr>
            <w:r>
              <w:rPr>
                <w:sz w:val="15"/>
              </w:rPr>
            </w:r>
            <w:r>
              <w:rPr>
                <w:rFonts w:ascii="Aptos" w:hAnsi="Aptos"/>
                <w:b w:val="0"/>
                <w:sz w:val="15"/>
              </w:rPr>
              <w:t>Independent QA of Pass 3 against Pass 2, the revalidated Vision Map and sibling F01-F04 packages.</w:t>
            </w:r>
          </w:p>
        </w:tc>
      </w:tr>
      <w:tr>
        <w:trPr>
          <w:cantSplit/>
        </w:trPr>
        <w:tc>
          <w:tcPr>
            <w:tcW w:type="dxa" w:w="3816"/>
            <w:vAlign w:val="center"/>
          </w:tcPr>
          <w:p>
            <w:pPr>
              <w:spacing w:after="0" w:line="228" w:lineRule="auto"/>
            </w:pPr>
            <w:r>
              <w:rPr>
                <w:sz w:val="15"/>
              </w:rPr>
            </w:r>
            <w:r>
              <w:rPr>
                <w:rFonts w:ascii="Aptos" w:hAnsi="Aptos"/>
                <w:b w:val="0"/>
                <w:sz w:val="15"/>
              </w:rPr>
              <w:t>Locked EcoGrow MVP</w:t>
            </w:r>
          </w:p>
        </w:tc>
        <w:tc>
          <w:tcPr>
            <w:tcW w:type="dxa" w:w="6552"/>
            <w:vAlign w:val="center"/>
          </w:tcPr>
          <w:p>
            <w:pPr>
              <w:spacing w:after="0" w:line="228" w:lineRule="auto"/>
            </w:pPr>
            <w:r>
              <w:rPr>
                <w:sz w:val="15"/>
              </w:rPr>
            </w:r>
            <w:r>
              <w:rPr>
                <w:rFonts w:ascii="Aptos" w:hAnsi="Aptos"/>
                <w:b w:val="0"/>
                <w:sz w:val="15"/>
              </w:rPr>
              <w:t>Historical baseline. No FR-01 to FR-09 changes are made here.</w:t>
            </w:r>
          </w:p>
        </w:tc>
      </w:tr>
    </w:tbl>
    <w:p>
      <w:pPr>
        <w:spacing w:after="40"/>
      </w:pPr>
    </w:p>
    <w:p>
      <w:pPr>
        <w:pStyle w:val="Heading1"/>
        <w:spacing w:before="80" w:after="30"/>
      </w:pPr>
      <w:r>
        <w:t>9. Recruiter-Facing Signal</w:t>
      </w:r>
    </w:p>
    <w:p>
      <w:pPr>
        <w:spacing w:after="40" w:line="240" w:lineRule="auto"/>
      </w:pPr>
      <w:r>
        <w:t>F05 shows that I can take a personalisation opportunity and turn it into a governed systems-analysis track without confusing technical possibility with justified product value. The portfolio signal is disciplined requirements thinking, privacy-aware data analysis, explicit user control, dependency management and deliberate progression control.</w:t>
      </w:r>
    </w:p>
    <w:p>
      <w:pPr>
        <w:pStyle w:val="Heading1"/>
        <w:spacing w:before="80" w:after="30"/>
      </w:pPr>
      <w:r>
        <w:t>10. Final Packaging Decision</w:t>
      </w:r>
    </w:p>
    <w:p>
      <w:pPr>
        <w:spacing w:after="40" w:line="240" w:lineRule="auto"/>
      </w:pPr>
      <w:r>
        <w:t>F05 is portfolio-complete as a future-state discovery package, but it is not delivery-ready. Pass 5 packages the work without upgrading open consent, privacy, data, logic or value questions into approved requirements. Any future progression should begin by resolving the nine-gate bar and then independently reassessing readiness.</w:t>
      </w:r>
    </w:p>
    <w:p>
      <w:pPr>
        <w:spacing w:before="100" w:after="40"/>
        <w:jc w:val="center"/>
      </w:pPr>
      <w:r>
        <w:rPr>
          <w:b/>
          <w:color w:val="595959"/>
          <w:sz w:val="17"/>
        </w:rPr>
        <w:t>EPIC-F05 sequence packaged: Pass 2 • Pass 3 • Pass 4 • Pass 5</w:t>
      </w:r>
    </w:p>
    <w:sectPr w:rsidR="00FC693F" w:rsidRPr="0006063C" w:rsidSect="00034616">
      <w:footerReference w:type="default" r:id="rId9"/>
      <w:pgSz w:w="12240" w:h="15840"/>
      <w:pgMar w:top="605" w:right="893" w:bottom="60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Prepared by Doris Frank, Business Analyst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EcoGrow EPIC-F05 Personalised Garden Experience | Portfolio Packaging | Pass 5</dc:title>
  <dc:subject>Future-state discovery portfolio packaging</dc:subject>
  <dc:creator>Doris Frank</dc:creator>
  <cp:keywords/>
  <dc:description>generated by python-docx</dc:description>
  <cp:lastModifiedBy/>
  <cp:revision>1</cp:revision>
  <dcterms:created xsi:type="dcterms:W3CDTF">2013-12-23T23:15:00Z</dcterms:created>
  <dcterms:modified xsi:type="dcterms:W3CDTF">2013-12-23T23:15:00Z</dcterms:modified>
  <cp:category/>
</cp:coreProperties>
</file>