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16"/>
        </w:rPr>
        <w:t>EcoGrow Future-State Discovery | EPIC-F06 | Cross-Artifact QA | Pass 4</w:t>
      </w:r>
    </w:p>
    <w:p>
      <w:pPr>
        <w:pStyle w:val="Title"/>
        <w:jc w:val="center"/>
      </w:pPr>
      <w:r>
        <w:t>EPIC-F06 Platform Scalability and Global Readiness | Independent Cross-Artifact QA</w:t>
      </w:r>
    </w:p>
    <w:p>
      <w:pPr>
        <w:jc w:val="center"/>
      </w:pPr>
      <w:r>
        <w:t>Prepared by Doris Frank, Business Analyst</w:t>
      </w:r>
    </w:p>
    <w:p>
      <w:pPr>
        <w:jc w:val="center"/>
      </w:pPr>
      <w:r>
        <w:t>Status: Independent QA of Pass 2 and corrected Pass 3. This pass does not amend the locked MVP, create Jira commitments, or represent built functionality.</w:t>
      </w:r>
    </w:p>
    <w:p>
      <w:pPr>
        <w:pStyle w:val="Heading1"/>
      </w:pPr>
      <w:r>
        <w:t>1. QA Scope</w:t>
      </w:r>
    </w:p>
    <w:p>
      <w:r>
        <w:t>I revalidated the corrected F06 Pass 3 against the F06 Deep Discovery Pass 2, the revalidated Product Vision and Capability Map, and the final portfolio packages for sibling epics F01 through F05. The wider sibling check tests boundary integrity across the full future-state sequence.</w:t>
      </w:r>
    </w:p>
    <w:tbl>
      <w:tblPr>
        <w:tblStyle w:val="TableGrid"/>
        <w:tblW w:type="auto" w:w="0"/>
        <w:jc w:val="center"/>
        <w:tblLook w:firstColumn="1" w:firstRow="1" w:lastColumn="0" w:lastRow="0" w:noHBand="0" w:noVBand="1" w:val="04A0"/>
      </w:tblPr>
      <w:tblGrid>
        <w:gridCol w:w="5184"/>
        <w:gridCol w:w="5184"/>
      </w:tblGrid>
      <w:tr>
        <w:trPr>
          <w:cantSplit/>
        </w:trPr>
        <w:tc>
          <w:tcPr>
            <w:tcW w:type="dxa" w:w="5184"/>
            <w:vAlign w:val="center"/>
            <w:shd w:fill="EDEDED"/>
          </w:tcPr>
          <w:p>
            <w:r/>
            <w:r>
              <w:rPr>
                <w:b/>
                <w:sz w:val="16"/>
              </w:rPr>
              <w:t>Source artifact</w:t>
            </w:r>
          </w:p>
        </w:tc>
        <w:tc>
          <w:tcPr>
            <w:tcW w:type="dxa" w:w="5184"/>
            <w:vAlign w:val="center"/>
            <w:shd w:fill="EDEDED"/>
          </w:tcPr>
          <w:p>
            <w:r/>
            <w:r>
              <w:rPr>
                <w:b/>
                <w:sz w:val="16"/>
              </w:rPr>
              <w:t>QA use</w:t>
            </w:r>
          </w:p>
        </w:tc>
      </w:tr>
      <w:tr>
        <w:trPr>
          <w:cantSplit/>
        </w:trPr>
        <w:tc>
          <w:tcPr>
            <w:tcW w:type="dxa" w:w="5184"/>
            <w:vAlign w:val="center"/>
          </w:tcPr>
          <w:p>
            <w:r/>
            <w:r>
              <w:rPr>
                <w:b w:val="0"/>
                <w:sz w:val="16"/>
              </w:rPr>
              <w:t>F06 Deep Discovery Pass 2</w:t>
            </w:r>
          </w:p>
        </w:tc>
        <w:tc>
          <w:tcPr>
            <w:tcW w:type="dxa" w:w="5184"/>
            <w:vAlign w:val="center"/>
          </w:tcPr>
          <w:p>
            <w:r/>
            <w:r>
              <w:rPr>
                <w:b w:val="0"/>
                <w:sz w:val="16"/>
              </w:rPr>
              <w:t>Primary baseline for purpose, feature names, discovery questions, NFR themes and ten-gate progression.</w:t>
            </w:r>
          </w:p>
        </w:tc>
      </w:tr>
      <w:tr>
        <w:trPr>
          <w:cantSplit/>
        </w:trPr>
        <w:tc>
          <w:tcPr>
            <w:tcW w:type="dxa" w:w="5184"/>
            <w:vAlign w:val="center"/>
          </w:tcPr>
          <w:p>
            <w:r/>
            <w:r>
              <w:rPr>
                <w:b w:val="0"/>
                <w:sz w:val="16"/>
              </w:rPr>
              <w:t>F06 Delivery Translation Pass 3, corrected</w:t>
            </w:r>
          </w:p>
        </w:tc>
        <w:tc>
          <w:tcPr>
            <w:tcW w:type="dxa" w:w="5184"/>
            <w:vAlign w:val="center"/>
          </w:tcPr>
          <w:p>
            <w:r/>
            <w:r>
              <w:rPr>
                <w:b w:val="0"/>
                <w:sz w:val="16"/>
              </w:rPr>
              <w:t>Primary translation artifact under QA, including the corrected five-epic boundary wording.</w:t>
            </w:r>
          </w:p>
        </w:tc>
      </w:tr>
      <w:tr>
        <w:trPr>
          <w:cantSplit/>
        </w:trPr>
        <w:tc>
          <w:tcPr>
            <w:tcW w:type="dxa" w:w="5184"/>
            <w:vAlign w:val="center"/>
          </w:tcPr>
          <w:p>
            <w:r/>
            <w:r>
              <w:rPr>
                <w:b w:val="0"/>
                <w:sz w:val="16"/>
              </w:rPr>
              <w:t>Revalidated Product Vision and Capability Map</w:t>
            </w:r>
          </w:p>
        </w:tc>
        <w:tc>
          <w:tcPr>
            <w:tcW w:type="dxa" w:w="5184"/>
            <w:vAlign w:val="center"/>
          </w:tcPr>
          <w:p>
            <w:r/>
            <w:r>
              <w:rPr>
                <w:b w:val="0"/>
                <w:sz w:val="16"/>
              </w:rPr>
              <w:t>Future-state scope, F06 position, six-epic structure and cross-epic boundaries.</w:t>
            </w:r>
          </w:p>
        </w:tc>
      </w:tr>
      <w:tr>
        <w:trPr>
          <w:cantSplit/>
        </w:trPr>
        <w:tc>
          <w:tcPr>
            <w:tcW w:type="dxa" w:w="5184"/>
            <w:vAlign w:val="center"/>
          </w:tcPr>
          <w:p>
            <w:r/>
            <w:r>
              <w:rPr>
                <w:b w:val="0"/>
                <w:sz w:val="16"/>
              </w:rPr>
              <w:t>F01-F05 final portfolio packages</w:t>
            </w:r>
          </w:p>
        </w:tc>
        <w:tc>
          <w:tcPr>
            <w:tcW w:type="dxa" w:w="5184"/>
            <w:vAlign w:val="center"/>
          </w:tcPr>
          <w:p>
            <w:r/>
            <w:r>
              <w:rPr>
                <w:b w:val="0"/>
                <w:sz w:val="16"/>
              </w:rPr>
              <w:t>Cross-epic boundary validation against the established future-state sequence.</w:t>
            </w:r>
          </w:p>
        </w:tc>
      </w:tr>
      <w:tr>
        <w:trPr>
          <w:cantSplit/>
        </w:trPr>
        <w:tc>
          <w:tcPr>
            <w:tcW w:type="dxa" w:w="5184"/>
            <w:vAlign w:val="center"/>
          </w:tcPr>
          <w:p>
            <w:r/>
            <w:r>
              <w:rPr>
                <w:b w:val="0"/>
                <w:sz w:val="16"/>
              </w:rPr>
              <w:t>Locked EcoGrow MVP</w:t>
            </w:r>
          </w:p>
        </w:tc>
        <w:tc>
          <w:tcPr>
            <w:tcW w:type="dxa" w:w="5184"/>
            <w:vAlign w:val="center"/>
          </w:tcPr>
          <w:p>
            <w:r/>
            <w:r>
              <w:rPr>
                <w:b w:val="0"/>
                <w:sz w:val="16"/>
              </w:rPr>
              <w:t>Historical baseline check to ensure no MVP scope or IDs are amended.</w:t>
            </w:r>
          </w:p>
        </w:tc>
      </w:tr>
    </w:tbl>
    <w:p>
      <w:pPr>
        <w:pStyle w:val="Heading1"/>
      </w:pPr>
      <w:r>
        <w:t>2. Feature and Requirement Traceability</w:t>
      </w:r>
    </w:p>
    <w:tbl>
      <w:tblPr>
        <w:tblStyle w:val="TableGrid"/>
        <w:tblW w:type="auto" w:w="0"/>
        <w:jc w:val="center"/>
        <w:tblLook w:firstColumn="1" w:firstRow="1" w:lastColumn="0" w:lastRow="0" w:noHBand="0" w:noVBand="1" w:val="04A0"/>
      </w:tblPr>
      <w:tblGrid>
        <w:gridCol w:w="2592"/>
        <w:gridCol w:w="2592"/>
        <w:gridCol w:w="2592"/>
        <w:gridCol w:w="2592"/>
      </w:tblGrid>
      <w:tr>
        <w:trPr>
          <w:cantSplit/>
        </w:trPr>
        <w:tc>
          <w:tcPr>
            <w:tcW w:type="dxa" w:w="2592"/>
            <w:vAlign w:val="center"/>
            <w:shd w:fill="EDEDED"/>
          </w:tcPr>
          <w:p>
            <w:r/>
            <w:r>
              <w:rPr>
                <w:b/>
                <w:sz w:val="16"/>
              </w:rPr>
              <w:t>Control</w:t>
            </w:r>
          </w:p>
        </w:tc>
        <w:tc>
          <w:tcPr>
            <w:tcW w:type="dxa" w:w="2592"/>
            <w:vAlign w:val="center"/>
            <w:shd w:fill="EDEDED"/>
          </w:tcPr>
          <w:p>
            <w:r/>
            <w:r>
              <w:rPr>
                <w:b/>
                <w:sz w:val="16"/>
              </w:rPr>
              <w:t>Pass 2</w:t>
            </w:r>
          </w:p>
        </w:tc>
        <w:tc>
          <w:tcPr>
            <w:tcW w:type="dxa" w:w="2592"/>
            <w:vAlign w:val="center"/>
            <w:shd w:fill="EDEDED"/>
          </w:tcPr>
          <w:p>
            <w:r/>
            <w:r>
              <w:rPr>
                <w:b/>
                <w:sz w:val="16"/>
              </w:rPr>
              <w:t>Pass 3</w:t>
            </w:r>
          </w:p>
        </w:tc>
        <w:tc>
          <w:tcPr>
            <w:tcW w:type="dxa" w:w="2592"/>
            <w:vAlign w:val="center"/>
            <w:shd w:fill="EDEDED"/>
          </w:tcPr>
          <w:p>
            <w:r/>
            <w:r>
              <w:rPr>
                <w:b/>
                <w:sz w:val="16"/>
              </w:rPr>
              <w:t>QA finding</w:t>
            </w:r>
          </w:p>
        </w:tc>
      </w:tr>
      <w:tr>
        <w:trPr>
          <w:cantSplit/>
        </w:trPr>
        <w:tc>
          <w:tcPr>
            <w:tcW w:type="dxa" w:w="2592"/>
            <w:vAlign w:val="center"/>
          </w:tcPr>
          <w:p>
            <w:r/>
            <w:r>
              <w:rPr>
                <w:b w:val="0"/>
                <w:sz w:val="16"/>
              </w:rPr>
              <w:t>F06.1 Technical Scalability</w:t>
            </w:r>
          </w:p>
        </w:tc>
        <w:tc>
          <w:tcPr>
            <w:tcW w:type="dxa" w:w="2592"/>
            <w:vAlign w:val="center"/>
          </w:tcPr>
          <w:p>
            <w:r/>
            <w:r>
              <w:rPr>
                <w:b w:val="0"/>
                <w:sz w:val="16"/>
              </w:rPr>
              <w:t>Present</w:t>
            </w:r>
          </w:p>
        </w:tc>
        <w:tc>
          <w:tcPr>
            <w:tcW w:type="dxa" w:w="2592"/>
            <w:vAlign w:val="center"/>
          </w:tcPr>
          <w:p>
            <w:r/>
            <w:r>
              <w:rPr>
                <w:b w:val="0"/>
                <w:sz w:val="16"/>
              </w:rPr>
              <w:t>Present</w:t>
            </w:r>
          </w:p>
        </w:tc>
        <w:tc>
          <w:tcPr>
            <w:tcW w:type="dxa" w:w="2592"/>
            <w:vAlign w:val="center"/>
          </w:tcPr>
          <w:p>
            <w:r/>
            <w:r>
              <w:rPr>
                <w:b w:val="0"/>
                <w:sz w:val="16"/>
              </w:rPr>
              <w:t>PASS</w:t>
            </w:r>
          </w:p>
        </w:tc>
      </w:tr>
      <w:tr>
        <w:trPr>
          <w:cantSplit/>
        </w:trPr>
        <w:tc>
          <w:tcPr>
            <w:tcW w:type="dxa" w:w="2592"/>
            <w:vAlign w:val="center"/>
          </w:tcPr>
          <w:p>
            <w:r/>
            <w:r>
              <w:rPr>
                <w:b w:val="0"/>
                <w:sz w:val="16"/>
              </w:rPr>
              <w:t>F06.2 Operational Readiness</w:t>
            </w:r>
          </w:p>
        </w:tc>
        <w:tc>
          <w:tcPr>
            <w:tcW w:type="dxa" w:w="2592"/>
            <w:vAlign w:val="center"/>
          </w:tcPr>
          <w:p>
            <w:r/>
            <w:r>
              <w:rPr>
                <w:b w:val="0"/>
                <w:sz w:val="16"/>
              </w:rPr>
              <w:t>Present</w:t>
            </w:r>
          </w:p>
        </w:tc>
        <w:tc>
          <w:tcPr>
            <w:tcW w:type="dxa" w:w="2592"/>
            <w:vAlign w:val="center"/>
          </w:tcPr>
          <w:p>
            <w:r/>
            <w:r>
              <w:rPr>
                <w:b w:val="0"/>
                <w:sz w:val="16"/>
              </w:rPr>
              <w:t>Present</w:t>
            </w:r>
          </w:p>
        </w:tc>
        <w:tc>
          <w:tcPr>
            <w:tcW w:type="dxa" w:w="2592"/>
            <w:vAlign w:val="center"/>
          </w:tcPr>
          <w:p>
            <w:r/>
            <w:r>
              <w:rPr>
                <w:b w:val="0"/>
                <w:sz w:val="16"/>
              </w:rPr>
              <w:t>PASS</w:t>
            </w:r>
          </w:p>
        </w:tc>
      </w:tr>
      <w:tr>
        <w:trPr>
          <w:cantSplit/>
        </w:trPr>
        <w:tc>
          <w:tcPr>
            <w:tcW w:type="dxa" w:w="2592"/>
            <w:vAlign w:val="center"/>
          </w:tcPr>
          <w:p>
            <w:r/>
            <w:r>
              <w:rPr>
                <w:b w:val="0"/>
                <w:sz w:val="16"/>
              </w:rPr>
              <w:t>F06.3 Geographic and Content Readiness</w:t>
            </w:r>
          </w:p>
        </w:tc>
        <w:tc>
          <w:tcPr>
            <w:tcW w:type="dxa" w:w="2592"/>
            <w:vAlign w:val="center"/>
          </w:tcPr>
          <w:p>
            <w:r/>
            <w:r>
              <w:rPr>
                <w:b w:val="0"/>
                <w:sz w:val="16"/>
              </w:rPr>
              <w:t>Present</w:t>
            </w:r>
          </w:p>
        </w:tc>
        <w:tc>
          <w:tcPr>
            <w:tcW w:type="dxa" w:w="2592"/>
            <w:vAlign w:val="center"/>
          </w:tcPr>
          <w:p>
            <w:r/>
            <w:r>
              <w:rPr>
                <w:b w:val="0"/>
                <w:sz w:val="16"/>
              </w:rPr>
              <w:t>Present</w:t>
            </w:r>
          </w:p>
        </w:tc>
        <w:tc>
          <w:tcPr>
            <w:tcW w:type="dxa" w:w="2592"/>
            <w:vAlign w:val="center"/>
          </w:tcPr>
          <w:p>
            <w:r/>
            <w:r>
              <w:rPr>
                <w:b w:val="0"/>
                <w:sz w:val="16"/>
              </w:rPr>
              <w:t>PASS</w:t>
            </w:r>
          </w:p>
        </w:tc>
      </w:tr>
      <w:tr>
        <w:trPr>
          <w:cantSplit/>
        </w:trPr>
        <w:tc>
          <w:tcPr>
            <w:tcW w:type="dxa" w:w="2592"/>
            <w:vAlign w:val="center"/>
          </w:tcPr>
          <w:p>
            <w:r/>
            <w:r>
              <w:rPr>
                <w:b w:val="0"/>
                <w:sz w:val="16"/>
              </w:rPr>
              <w:t>F06.4 Cost and Business Case</w:t>
            </w:r>
          </w:p>
        </w:tc>
        <w:tc>
          <w:tcPr>
            <w:tcW w:type="dxa" w:w="2592"/>
            <w:vAlign w:val="center"/>
          </w:tcPr>
          <w:p>
            <w:r/>
            <w:r>
              <w:rPr>
                <w:b w:val="0"/>
                <w:sz w:val="16"/>
              </w:rPr>
              <w:t>Present</w:t>
            </w:r>
          </w:p>
        </w:tc>
        <w:tc>
          <w:tcPr>
            <w:tcW w:type="dxa" w:w="2592"/>
            <w:vAlign w:val="center"/>
          </w:tcPr>
          <w:p>
            <w:r/>
            <w:r>
              <w:rPr>
                <w:b w:val="0"/>
                <w:sz w:val="16"/>
              </w:rPr>
              <w:t>Present</w:t>
            </w:r>
          </w:p>
        </w:tc>
        <w:tc>
          <w:tcPr>
            <w:tcW w:type="dxa" w:w="2592"/>
            <w:vAlign w:val="center"/>
          </w:tcPr>
          <w:p>
            <w:r/>
            <w:r>
              <w:rPr>
                <w:b w:val="0"/>
                <w:sz w:val="16"/>
              </w:rPr>
              <w:t>PASS</w:t>
            </w:r>
          </w:p>
        </w:tc>
      </w:tr>
      <w:tr>
        <w:trPr>
          <w:cantSplit/>
        </w:trPr>
        <w:tc>
          <w:tcPr>
            <w:tcW w:type="dxa" w:w="2592"/>
            <w:vAlign w:val="center"/>
          </w:tcPr>
          <w:p>
            <w:r/>
            <w:r>
              <w:rPr>
                <w:b w:val="0"/>
                <w:sz w:val="16"/>
              </w:rPr>
              <w:t>Candidate requirement directions</w:t>
            </w:r>
          </w:p>
        </w:tc>
        <w:tc>
          <w:tcPr>
            <w:tcW w:type="dxa" w:w="2592"/>
            <w:vAlign w:val="center"/>
          </w:tcPr>
          <w:p>
            <w:r/>
            <w:r>
              <w:rPr>
                <w:b w:val="0"/>
                <w:sz w:val="16"/>
              </w:rPr>
              <w:t>Unnumbered</w:t>
            </w:r>
          </w:p>
        </w:tc>
        <w:tc>
          <w:tcPr>
            <w:tcW w:type="dxa" w:w="2592"/>
            <w:vAlign w:val="center"/>
          </w:tcPr>
          <w:p>
            <w:r/>
            <w:r>
              <w:rPr>
                <w:b w:val="0"/>
                <w:sz w:val="16"/>
              </w:rPr>
              <w:t>Unnumbered</w:t>
            </w:r>
          </w:p>
        </w:tc>
        <w:tc>
          <w:tcPr>
            <w:tcW w:type="dxa" w:w="2592"/>
            <w:vAlign w:val="center"/>
          </w:tcPr>
          <w:p>
            <w:r/>
            <w:r>
              <w:rPr>
                <w:b w:val="0"/>
                <w:sz w:val="16"/>
              </w:rPr>
              <w:t>PASS</w:t>
            </w:r>
          </w:p>
        </w:tc>
      </w:tr>
      <w:tr>
        <w:trPr>
          <w:cantSplit/>
        </w:trPr>
        <w:tc>
          <w:tcPr>
            <w:tcW w:type="dxa" w:w="2592"/>
            <w:vAlign w:val="center"/>
          </w:tcPr>
          <w:p>
            <w:r/>
            <w:r>
              <w:rPr>
                <w:b w:val="0"/>
                <w:sz w:val="16"/>
              </w:rPr>
              <w:t>Candidate story direction</w:t>
            </w:r>
          </w:p>
        </w:tc>
        <w:tc>
          <w:tcPr>
            <w:tcW w:type="dxa" w:w="2592"/>
            <w:vAlign w:val="center"/>
          </w:tcPr>
          <w:p>
            <w:r/>
            <w:r>
              <w:rPr>
                <w:b w:val="0"/>
                <w:sz w:val="16"/>
              </w:rPr>
              <w:t>Unnumbered</w:t>
            </w:r>
          </w:p>
        </w:tc>
        <w:tc>
          <w:tcPr>
            <w:tcW w:type="dxa" w:w="2592"/>
            <w:vAlign w:val="center"/>
          </w:tcPr>
          <w:p>
            <w:r/>
            <w:r>
              <w:rPr>
                <w:b w:val="0"/>
                <w:sz w:val="16"/>
              </w:rPr>
              <w:t>Unnumbered</w:t>
            </w:r>
          </w:p>
        </w:tc>
        <w:tc>
          <w:tcPr>
            <w:tcW w:type="dxa" w:w="2592"/>
            <w:vAlign w:val="center"/>
          </w:tcPr>
          <w:p>
            <w:r/>
            <w:r>
              <w:rPr>
                <w:b w:val="0"/>
                <w:sz w:val="16"/>
              </w:rPr>
              <w:t>PASS</w:t>
            </w:r>
          </w:p>
        </w:tc>
      </w:tr>
    </w:tbl>
    <w:p>
      <w:r>
        <w:t>QA finding: the four F06 feature names are preserved exactly and the candidate requirement and story directions remain unnumbered. No delivery commitment was created through translation.</w:t>
      </w:r>
    </w:p>
    <w:p>
      <w:pPr>
        <w:pStyle w:val="Heading1"/>
      </w:pPr>
      <w:r>
        <w:t>3. Ten-Gate Progression Integrity</w:t>
      </w:r>
    </w:p>
    <w:p>
      <w:r>
        <w:t>I checked the actual progression table directly. The F06 gate set contains ten rows in the same order and with the same names as Pass 2.</w:t>
      </w:r>
    </w:p>
    <w:tbl>
      <w:tblPr>
        <w:tblStyle w:val="TableGrid"/>
        <w:tblW w:type="auto" w:w="0"/>
        <w:jc w:val="center"/>
        <w:tblLook w:firstColumn="1" w:firstRow="1" w:lastColumn="0" w:lastRow="0" w:noHBand="0" w:noVBand="1" w:val="04A0"/>
      </w:tblPr>
      <w:tblGrid>
        <w:gridCol w:w="2074"/>
        <w:gridCol w:w="2074"/>
        <w:gridCol w:w="2074"/>
        <w:gridCol w:w="2074"/>
        <w:gridCol w:w="2074"/>
      </w:tblGrid>
      <w:tr>
        <w:trPr>
          <w:cantSplit/>
        </w:trPr>
        <w:tc>
          <w:tcPr>
            <w:tcW w:type="dxa" w:w="2074"/>
            <w:vAlign w:val="center"/>
            <w:shd w:fill="EDEDED"/>
          </w:tcPr>
          <w:p>
            <w:r/>
            <w:r>
              <w:rPr>
                <w:b/>
                <w:sz w:val="16"/>
              </w:rPr>
              <w:t>#</w:t>
            </w:r>
          </w:p>
        </w:tc>
        <w:tc>
          <w:tcPr>
            <w:tcW w:type="dxa" w:w="2074"/>
            <w:vAlign w:val="center"/>
            <w:shd w:fill="EDEDED"/>
          </w:tcPr>
          <w:p>
            <w:r/>
            <w:r>
              <w:rPr>
                <w:b/>
                <w:sz w:val="16"/>
              </w:rPr>
              <w:t>Gate</w:t>
            </w:r>
          </w:p>
        </w:tc>
        <w:tc>
          <w:tcPr>
            <w:tcW w:type="dxa" w:w="2074"/>
            <w:vAlign w:val="center"/>
            <w:shd w:fill="EDEDED"/>
          </w:tcPr>
          <w:p>
            <w:r/>
            <w:r>
              <w:rPr>
                <w:b/>
                <w:sz w:val="16"/>
              </w:rPr>
              <w:t>Pass 2</w:t>
            </w:r>
          </w:p>
        </w:tc>
        <w:tc>
          <w:tcPr>
            <w:tcW w:type="dxa" w:w="2074"/>
            <w:vAlign w:val="center"/>
            <w:shd w:fill="EDEDED"/>
          </w:tcPr>
          <w:p>
            <w:r/>
            <w:r>
              <w:rPr>
                <w:b/>
                <w:sz w:val="16"/>
              </w:rPr>
              <w:t>Pass 3</w:t>
            </w:r>
          </w:p>
        </w:tc>
        <w:tc>
          <w:tcPr>
            <w:tcW w:type="dxa" w:w="2074"/>
            <w:vAlign w:val="center"/>
            <w:shd w:fill="EDEDED"/>
          </w:tcPr>
          <w:p>
            <w:r/>
            <w:r>
              <w:rPr>
                <w:b/>
                <w:sz w:val="16"/>
              </w:rPr>
              <w:t>QA</w:t>
            </w:r>
          </w:p>
        </w:tc>
      </w:tr>
      <w:tr>
        <w:trPr>
          <w:cantSplit/>
        </w:trPr>
        <w:tc>
          <w:tcPr>
            <w:tcW w:type="dxa" w:w="2074"/>
            <w:vAlign w:val="center"/>
          </w:tcPr>
          <w:p>
            <w:r/>
            <w:r>
              <w:rPr>
                <w:b w:val="0"/>
                <w:sz w:val="16"/>
              </w:rPr>
              <w:t>1</w:t>
            </w:r>
          </w:p>
        </w:tc>
        <w:tc>
          <w:tcPr>
            <w:tcW w:type="dxa" w:w="2074"/>
            <w:vAlign w:val="center"/>
          </w:tcPr>
          <w:p>
            <w:r/>
            <w:r>
              <w:rPr>
                <w:b w:val="0"/>
                <w:sz w:val="16"/>
              </w:rPr>
              <w:t>Problem and adoption validation</w:t>
            </w:r>
          </w:p>
        </w:tc>
        <w:tc>
          <w:tcPr>
            <w:tcW w:type="dxa" w:w="2074"/>
            <w:vAlign w:val="center"/>
          </w:tcPr>
          <w:p>
            <w:r/>
            <w:r>
              <w:rPr>
                <w:b w:val="0"/>
                <w:sz w:val="16"/>
              </w:rPr>
              <w:t>Present</w:t>
            </w:r>
          </w:p>
        </w:tc>
        <w:tc>
          <w:tcPr>
            <w:tcW w:type="dxa" w:w="2074"/>
            <w:vAlign w:val="center"/>
          </w:tcPr>
          <w:p>
            <w:r/>
            <w:r>
              <w:rPr>
                <w:b w:val="0"/>
                <w:sz w:val="16"/>
              </w:rPr>
              <w:t>Present</w:t>
            </w:r>
          </w:p>
        </w:tc>
        <w:tc>
          <w:tcPr>
            <w:tcW w:type="dxa" w:w="2074"/>
            <w:vAlign w:val="center"/>
          </w:tcPr>
          <w:p>
            <w:r/>
            <w:r>
              <w:rPr>
                <w:b w:val="0"/>
                <w:sz w:val="16"/>
              </w:rPr>
              <w:t>PASS</w:t>
            </w:r>
          </w:p>
        </w:tc>
      </w:tr>
      <w:tr>
        <w:trPr>
          <w:cantSplit/>
        </w:trPr>
        <w:tc>
          <w:tcPr>
            <w:tcW w:type="dxa" w:w="2074"/>
            <w:vAlign w:val="center"/>
          </w:tcPr>
          <w:p>
            <w:r/>
            <w:r>
              <w:rPr>
                <w:b w:val="0"/>
                <w:sz w:val="16"/>
              </w:rPr>
              <w:t>2</w:t>
            </w:r>
          </w:p>
        </w:tc>
        <w:tc>
          <w:tcPr>
            <w:tcW w:type="dxa" w:w="2074"/>
            <w:vAlign w:val="center"/>
          </w:tcPr>
          <w:p>
            <w:r/>
            <w:r>
              <w:rPr>
                <w:b w:val="0"/>
                <w:sz w:val="16"/>
              </w:rPr>
              <w:t>Scale evidence</w:t>
            </w:r>
          </w:p>
        </w:tc>
        <w:tc>
          <w:tcPr>
            <w:tcW w:type="dxa" w:w="2074"/>
            <w:vAlign w:val="center"/>
          </w:tcPr>
          <w:p>
            <w:r/>
            <w:r>
              <w:rPr>
                <w:b w:val="0"/>
                <w:sz w:val="16"/>
              </w:rPr>
              <w:t>Present</w:t>
            </w:r>
          </w:p>
        </w:tc>
        <w:tc>
          <w:tcPr>
            <w:tcW w:type="dxa" w:w="2074"/>
            <w:vAlign w:val="center"/>
          </w:tcPr>
          <w:p>
            <w:r/>
            <w:r>
              <w:rPr>
                <w:b w:val="0"/>
                <w:sz w:val="16"/>
              </w:rPr>
              <w:t>Present</w:t>
            </w:r>
          </w:p>
        </w:tc>
        <w:tc>
          <w:tcPr>
            <w:tcW w:type="dxa" w:w="2074"/>
            <w:vAlign w:val="center"/>
          </w:tcPr>
          <w:p>
            <w:r/>
            <w:r>
              <w:rPr>
                <w:b w:val="0"/>
                <w:sz w:val="16"/>
              </w:rPr>
              <w:t>PASS</w:t>
            </w:r>
          </w:p>
        </w:tc>
      </w:tr>
      <w:tr>
        <w:trPr>
          <w:cantSplit/>
        </w:trPr>
        <w:tc>
          <w:tcPr>
            <w:tcW w:type="dxa" w:w="2074"/>
            <w:vAlign w:val="center"/>
          </w:tcPr>
          <w:p>
            <w:r/>
            <w:r>
              <w:rPr>
                <w:b w:val="0"/>
                <w:sz w:val="16"/>
              </w:rPr>
              <w:t>3</w:t>
            </w:r>
          </w:p>
        </w:tc>
        <w:tc>
          <w:tcPr>
            <w:tcW w:type="dxa" w:w="2074"/>
            <w:vAlign w:val="center"/>
          </w:tcPr>
          <w:p>
            <w:r/>
            <w:r>
              <w:rPr>
                <w:b w:val="0"/>
                <w:sz w:val="16"/>
              </w:rPr>
              <w:t>Architecture and integration</w:t>
            </w:r>
          </w:p>
        </w:tc>
        <w:tc>
          <w:tcPr>
            <w:tcW w:type="dxa" w:w="2074"/>
            <w:vAlign w:val="center"/>
          </w:tcPr>
          <w:p>
            <w:r/>
            <w:r>
              <w:rPr>
                <w:b w:val="0"/>
                <w:sz w:val="16"/>
              </w:rPr>
              <w:t>Present</w:t>
            </w:r>
          </w:p>
        </w:tc>
        <w:tc>
          <w:tcPr>
            <w:tcW w:type="dxa" w:w="2074"/>
            <w:vAlign w:val="center"/>
          </w:tcPr>
          <w:p>
            <w:r/>
            <w:r>
              <w:rPr>
                <w:b w:val="0"/>
                <w:sz w:val="16"/>
              </w:rPr>
              <w:t>Present</w:t>
            </w:r>
          </w:p>
        </w:tc>
        <w:tc>
          <w:tcPr>
            <w:tcW w:type="dxa" w:w="2074"/>
            <w:vAlign w:val="center"/>
          </w:tcPr>
          <w:p>
            <w:r/>
            <w:r>
              <w:rPr>
                <w:b w:val="0"/>
                <w:sz w:val="16"/>
              </w:rPr>
              <w:t>PASS</w:t>
            </w:r>
          </w:p>
        </w:tc>
      </w:tr>
      <w:tr>
        <w:trPr>
          <w:cantSplit/>
        </w:trPr>
        <w:tc>
          <w:tcPr>
            <w:tcW w:type="dxa" w:w="2074"/>
            <w:vAlign w:val="center"/>
          </w:tcPr>
          <w:p>
            <w:r/>
            <w:r>
              <w:rPr>
                <w:b w:val="0"/>
                <w:sz w:val="16"/>
              </w:rPr>
              <w:t>4</w:t>
            </w:r>
          </w:p>
        </w:tc>
        <w:tc>
          <w:tcPr>
            <w:tcW w:type="dxa" w:w="2074"/>
            <w:vAlign w:val="center"/>
          </w:tcPr>
          <w:p>
            <w:r/>
            <w:r>
              <w:rPr>
                <w:b w:val="0"/>
                <w:sz w:val="16"/>
              </w:rPr>
              <w:t>Operational readiness</w:t>
            </w:r>
          </w:p>
        </w:tc>
        <w:tc>
          <w:tcPr>
            <w:tcW w:type="dxa" w:w="2074"/>
            <w:vAlign w:val="center"/>
          </w:tcPr>
          <w:p>
            <w:r/>
            <w:r>
              <w:rPr>
                <w:b w:val="0"/>
                <w:sz w:val="16"/>
              </w:rPr>
              <w:t>Present</w:t>
            </w:r>
          </w:p>
        </w:tc>
        <w:tc>
          <w:tcPr>
            <w:tcW w:type="dxa" w:w="2074"/>
            <w:vAlign w:val="center"/>
          </w:tcPr>
          <w:p>
            <w:r/>
            <w:r>
              <w:rPr>
                <w:b w:val="0"/>
                <w:sz w:val="16"/>
              </w:rPr>
              <w:t>Present</w:t>
            </w:r>
          </w:p>
        </w:tc>
        <w:tc>
          <w:tcPr>
            <w:tcW w:type="dxa" w:w="2074"/>
            <w:vAlign w:val="center"/>
          </w:tcPr>
          <w:p>
            <w:r/>
            <w:r>
              <w:rPr>
                <w:b w:val="0"/>
                <w:sz w:val="16"/>
              </w:rPr>
              <w:t>PASS</w:t>
            </w:r>
          </w:p>
        </w:tc>
      </w:tr>
      <w:tr>
        <w:trPr>
          <w:cantSplit/>
        </w:trPr>
        <w:tc>
          <w:tcPr>
            <w:tcW w:type="dxa" w:w="2074"/>
            <w:vAlign w:val="center"/>
          </w:tcPr>
          <w:p>
            <w:r/>
            <w:r>
              <w:rPr>
                <w:b w:val="0"/>
                <w:sz w:val="16"/>
              </w:rPr>
              <w:t>5</w:t>
            </w:r>
          </w:p>
        </w:tc>
        <w:tc>
          <w:tcPr>
            <w:tcW w:type="dxa" w:w="2074"/>
            <w:vAlign w:val="center"/>
          </w:tcPr>
          <w:p>
            <w:r/>
            <w:r>
              <w:rPr>
                <w:b w:val="0"/>
                <w:sz w:val="16"/>
              </w:rPr>
              <w:t>Geographic readiness</w:t>
            </w:r>
          </w:p>
        </w:tc>
        <w:tc>
          <w:tcPr>
            <w:tcW w:type="dxa" w:w="2074"/>
            <w:vAlign w:val="center"/>
          </w:tcPr>
          <w:p>
            <w:r/>
            <w:r>
              <w:rPr>
                <w:b w:val="0"/>
                <w:sz w:val="16"/>
              </w:rPr>
              <w:t>Present</w:t>
            </w:r>
          </w:p>
        </w:tc>
        <w:tc>
          <w:tcPr>
            <w:tcW w:type="dxa" w:w="2074"/>
            <w:vAlign w:val="center"/>
          </w:tcPr>
          <w:p>
            <w:r/>
            <w:r>
              <w:rPr>
                <w:b w:val="0"/>
                <w:sz w:val="16"/>
              </w:rPr>
              <w:t>Present</w:t>
            </w:r>
          </w:p>
        </w:tc>
        <w:tc>
          <w:tcPr>
            <w:tcW w:type="dxa" w:w="2074"/>
            <w:vAlign w:val="center"/>
          </w:tcPr>
          <w:p>
            <w:r/>
            <w:r>
              <w:rPr>
                <w:b w:val="0"/>
                <w:sz w:val="16"/>
              </w:rPr>
              <w:t>PASS</w:t>
            </w:r>
          </w:p>
        </w:tc>
      </w:tr>
      <w:tr>
        <w:trPr>
          <w:cantSplit/>
        </w:trPr>
        <w:tc>
          <w:tcPr>
            <w:tcW w:type="dxa" w:w="2074"/>
            <w:vAlign w:val="center"/>
          </w:tcPr>
          <w:p>
            <w:r/>
            <w:r>
              <w:rPr>
                <w:b w:val="0"/>
                <w:sz w:val="16"/>
              </w:rPr>
              <w:t>6</w:t>
            </w:r>
          </w:p>
        </w:tc>
        <w:tc>
          <w:tcPr>
            <w:tcW w:type="dxa" w:w="2074"/>
            <w:vAlign w:val="center"/>
          </w:tcPr>
          <w:p>
            <w:r/>
            <w:r>
              <w:rPr>
                <w:b w:val="0"/>
                <w:sz w:val="16"/>
              </w:rPr>
              <w:t>Content readiness</w:t>
            </w:r>
          </w:p>
        </w:tc>
        <w:tc>
          <w:tcPr>
            <w:tcW w:type="dxa" w:w="2074"/>
            <w:vAlign w:val="center"/>
          </w:tcPr>
          <w:p>
            <w:r/>
            <w:r>
              <w:rPr>
                <w:b w:val="0"/>
                <w:sz w:val="16"/>
              </w:rPr>
              <w:t>Present</w:t>
            </w:r>
          </w:p>
        </w:tc>
        <w:tc>
          <w:tcPr>
            <w:tcW w:type="dxa" w:w="2074"/>
            <w:vAlign w:val="center"/>
          </w:tcPr>
          <w:p>
            <w:r/>
            <w:r>
              <w:rPr>
                <w:b w:val="0"/>
                <w:sz w:val="16"/>
              </w:rPr>
              <w:t>Present</w:t>
            </w:r>
          </w:p>
        </w:tc>
        <w:tc>
          <w:tcPr>
            <w:tcW w:type="dxa" w:w="2074"/>
            <w:vAlign w:val="center"/>
          </w:tcPr>
          <w:p>
            <w:r/>
            <w:r>
              <w:rPr>
                <w:b w:val="0"/>
                <w:sz w:val="16"/>
              </w:rPr>
              <w:t>PASS</w:t>
            </w:r>
          </w:p>
        </w:tc>
      </w:tr>
      <w:tr>
        <w:trPr>
          <w:cantSplit/>
        </w:trPr>
        <w:tc>
          <w:tcPr>
            <w:tcW w:type="dxa" w:w="2074"/>
            <w:vAlign w:val="center"/>
          </w:tcPr>
          <w:p>
            <w:r/>
            <w:r>
              <w:rPr>
                <w:b w:val="0"/>
                <w:sz w:val="16"/>
              </w:rPr>
              <w:t>7</w:t>
            </w:r>
          </w:p>
        </w:tc>
        <w:tc>
          <w:tcPr>
            <w:tcW w:type="dxa" w:w="2074"/>
            <w:vAlign w:val="center"/>
          </w:tcPr>
          <w:p>
            <w:r/>
            <w:r>
              <w:rPr>
                <w:b w:val="0"/>
                <w:sz w:val="16"/>
              </w:rPr>
              <w:t>Upstream capability maturity</w:t>
            </w:r>
          </w:p>
        </w:tc>
        <w:tc>
          <w:tcPr>
            <w:tcW w:type="dxa" w:w="2074"/>
            <w:vAlign w:val="center"/>
          </w:tcPr>
          <w:p>
            <w:r/>
            <w:r>
              <w:rPr>
                <w:b w:val="0"/>
                <w:sz w:val="16"/>
              </w:rPr>
              <w:t>Present</w:t>
            </w:r>
          </w:p>
        </w:tc>
        <w:tc>
          <w:tcPr>
            <w:tcW w:type="dxa" w:w="2074"/>
            <w:vAlign w:val="center"/>
          </w:tcPr>
          <w:p>
            <w:r/>
            <w:r>
              <w:rPr>
                <w:b w:val="0"/>
                <w:sz w:val="16"/>
              </w:rPr>
              <w:t>Present</w:t>
            </w:r>
          </w:p>
        </w:tc>
        <w:tc>
          <w:tcPr>
            <w:tcW w:type="dxa" w:w="2074"/>
            <w:vAlign w:val="center"/>
          </w:tcPr>
          <w:p>
            <w:r/>
            <w:r>
              <w:rPr>
                <w:b w:val="0"/>
                <w:sz w:val="16"/>
              </w:rPr>
              <w:t>PASS</w:t>
            </w:r>
          </w:p>
        </w:tc>
      </w:tr>
      <w:tr>
        <w:trPr>
          <w:cantSplit/>
        </w:trPr>
        <w:tc>
          <w:tcPr>
            <w:tcW w:type="dxa" w:w="2074"/>
            <w:vAlign w:val="center"/>
          </w:tcPr>
          <w:p>
            <w:r/>
            <w:r>
              <w:rPr>
                <w:b w:val="0"/>
                <w:sz w:val="16"/>
              </w:rPr>
              <w:t>8</w:t>
            </w:r>
          </w:p>
        </w:tc>
        <w:tc>
          <w:tcPr>
            <w:tcW w:type="dxa" w:w="2074"/>
            <w:vAlign w:val="center"/>
          </w:tcPr>
          <w:p>
            <w:r/>
            <w:r>
              <w:rPr>
                <w:b w:val="0"/>
                <w:sz w:val="16"/>
              </w:rPr>
              <w:t>Cost model</w:t>
            </w:r>
          </w:p>
        </w:tc>
        <w:tc>
          <w:tcPr>
            <w:tcW w:type="dxa" w:w="2074"/>
            <w:vAlign w:val="center"/>
          </w:tcPr>
          <w:p>
            <w:r/>
            <w:r>
              <w:rPr>
                <w:b w:val="0"/>
                <w:sz w:val="16"/>
              </w:rPr>
              <w:t>Present</w:t>
            </w:r>
          </w:p>
        </w:tc>
        <w:tc>
          <w:tcPr>
            <w:tcW w:type="dxa" w:w="2074"/>
            <w:vAlign w:val="center"/>
          </w:tcPr>
          <w:p>
            <w:r/>
            <w:r>
              <w:rPr>
                <w:b w:val="0"/>
                <w:sz w:val="16"/>
              </w:rPr>
              <w:t>Present</w:t>
            </w:r>
          </w:p>
        </w:tc>
        <w:tc>
          <w:tcPr>
            <w:tcW w:type="dxa" w:w="2074"/>
            <w:vAlign w:val="center"/>
          </w:tcPr>
          <w:p>
            <w:r/>
            <w:r>
              <w:rPr>
                <w:b w:val="0"/>
                <w:sz w:val="16"/>
              </w:rPr>
              <w:t>PASS</w:t>
            </w:r>
          </w:p>
        </w:tc>
      </w:tr>
      <w:tr>
        <w:trPr>
          <w:cantSplit/>
        </w:trPr>
        <w:tc>
          <w:tcPr>
            <w:tcW w:type="dxa" w:w="2074"/>
            <w:vAlign w:val="center"/>
          </w:tcPr>
          <w:p>
            <w:r/>
            <w:r>
              <w:rPr>
                <w:b w:val="0"/>
                <w:sz w:val="16"/>
              </w:rPr>
              <w:t>9</w:t>
            </w:r>
          </w:p>
        </w:tc>
        <w:tc>
          <w:tcPr>
            <w:tcW w:type="dxa" w:w="2074"/>
            <w:vAlign w:val="center"/>
          </w:tcPr>
          <w:p>
            <w:r/>
            <w:r>
              <w:rPr>
                <w:b w:val="0"/>
                <w:sz w:val="16"/>
              </w:rPr>
              <w:t>Business case</w:t>
            </w:r>
          </w:p>
        </w:tc>
        <w:tc>
          <w:tcPr>
            <w:tcW w:type="dxa" w:w="2074"/>
            <w:vAlign w:val="center"/>
          </w:tcPr>
          <w:p>
            <w:r/>
            <w:r>
              <w:rPr>
                <w:b w:val="0"/>
                <w:sz w:val="16"/>
              </w:rPr>
              <w:t>Present</w:t>
            </w:r>
          </w:p>
        </w:tc>
        <w:tc>
          <w:tcPr>
            <w:tcW w:type="dxa" w:w="2074"/>
            <w:vAlign w:val="center"/>
          </w:tcPr>
          <w:p>
            <w:r/>
            <w:r>
              <w:rPr>
                <w:b w:val="0"/>
                <w:sz w:val="16"/>
              </w:rPr>
              <w:t>Present</w:t>
            </w:r>
          </w:p>
        </w:tc>
        <w:tc>
          <w:tcPr>
            <w:tcW w:type="dxa" w:w="2074"/>
            <w:vAlign w:val="center"/>
          </w:tcPr>
          <w:p>
            <w:r/>
            <w:r>
              <w:rPr>
                <w:b w:val="0"/>
                <w:sz w:val="16"/>
              </w:rPr>
              <w:t>PASS</w:t>
            </w:r>
          </w:p>
        </w:tc>
      </w:tr>
      <w:tr>
        <w:trPr>
          <w:cantSplit/>
        </w:trPr>
        <w:tc>
          <w:tcPr>
            <w:tcW w:type="dxa" w:w="2074"/>
            <w:vAlign w:val="center"/>
          </w:tcPr>
          <w:p>
            <w:r/>
            <w:r>
              <w:rPr>
                <w:b w:val="0"/>
                <w:sz w:val="16"/>
              </w:rPr>
              <w:t>10</w:t>
            </w:r>
          </w:p>
        </w:tc>
        <w:tc>
          <w:tcPr>
            <w:tcW w:type="dxa" w:w="2074"/>
            <w:vAlign w:val="center"/>
          </w:tcPr>
          <w:p>
            <w:r/>
            <w:r>
              <w:rPr>
                <w:b w:val="0"/>
                <w:sz w:val="16"/>
              </w:rPr>
              <w:t>Value and priority</w:t>
            </w:r>
          </w:p>
        </w:tc>
        <w:tc>
          <w:tcPr>
            <w:tcW w:type="dxa" w:w="2074"/>
            <w:vAlign w:val="center"/>
          </w:tcPr>
          <w:p>
            <w:r/>
            <w:r>
              <w:rPr>
                <w:b w:val="0"/>
                <w:sz w:val="16"/>
              </w:rPr>
              <w:t>Present</w:t>
            </w:r>
          </w:p>
        </w:tc>
        <w:tc>
          <w:tcPr>
            <w:tcW w:type="dxa" w:w="2074"/>
            <w:vAlign w:val="center"/>
          </w:tcPr>
          <w:p>
            <w:r/>
            <w:r>
              <w:rPr>
                <w:b w:val="0"/>
                <w:sz w:val="16"/>
              </w:rPr>
              <w:t>Present</w:t>
            </w:r>
          </w:p>
        </w:tc>
        <w:tc>
          <w:tcPr>
            <w:tcW w:type="dxa" w:w="2074"/>
            <w:vAlign w:val="center"/>
          </w:tcPr>
          <w:p>
            <w:r/>
            <w:r>
              <w:rPr>
                <w:b w:val="0"/>
                <w:sz w:val="16"/>
              </w:rPr>
              <w:t>PASS</w:t>
            </w:r>
          </w:p>
        </w:tc>
      </w:tr>
    </w:tbl>
    <w:p>
      <w:r>
        <w:t>QA decision: exactly ten gates are preserved in the same order and wording. Gate 7 remains the upstream-capability maturity condition between content readiness and cost model. The ten-gate model remains intentionally distinct from F03 safety governance and F04 regional-content governance.</w:t>
      </w:r>
    </w:p>
    <w:p>
      <w:pPr>
        <w:pStyle w:val="Heading1"/>
      </w:pPr>
      <w:r>
        <w:t>4. Cross-Epic Boundary Integrity</w:t>
      </w:r>
    </w:p>
    <w:p>
      <w:r>
        <w:t>The F06 scope remains distinct from the five sibling future epics. The corrected traceability wording uses a five-epic sibling boundary, while F06 itself remains the system and business-case capability.</w:t>
      </w:r>
    </w:p>
    <w:tbl>
      <w:tblPr>
        <w:tblStyle w:val="TableGrid"/>
        <w:tblW w:type="auto" w:w="0"/>
        <w:jc w:val="center"/>
        <w:tblLook w:firstColumn="1" w:firstRow="1" w:lastColumn="0" w:lastRow="0" w:noHBand="0" w:noVBand="1" w:val="04A0"/>
      </w:tblPr>
      <w:tblGrid>
        <w:gridCol w:w="5184"/>
        <w:gridCol w:w="5184"/>
      </w:tblGrid>
      <w:tr>
        <w:trPr>
          <w:cantSplit/>
        </w:trPr>
        <w:tc>
          <w:tcPr>
            <w:tcW w:type="dxa" w:w="5184"/>
            <w:vAlign w:val="center"/>
            <w:shd w:fill="EDEDED"/>
          </w:tcPr>
          <w:p>
            <w:r/>
            <w:r>
              <w:rPr>
                <w:b/>
                <w:sz w:val="16"/>
              </w:rPr>
              <w:t>Boundary</w:t>
            </w:r>
          </w:p>
        </w:tc>
        <w:tc>
          <w:tcPr>
            <w:tcW w:type="dxa" w:w="5184"/>
            <w:vAlign w:val="center"/>
            <w:shd w:fill="EDEDED"/>
          </w:tcPr>
          <w:p>
            <w:r/>
            <w:r>
              <w:rPr>
                <w:b/>
                <w:sz w:val="16"/>
              </w:rPr>
              <w:t>F06 QA position</w:t>
            </w:r>
          </w:p>
        </w:tc>
      </w:tr>
      <w:tr>
        <w:trPr>
          <w:cantSplit/>
        </w:trPr>
        <w:tc>
          <w:tcPr>
            <w:tcW w:type="dxa" w:w="5184"/>
            <w:vAlign w:val="center"/>
          </w:tcPr>
          <w:p>
            <w:r/>
            <w:r>
              <w:rPr>
                <w:b w:val="0"/>
                <w:sz w:val="16"/>
              </w:rPr>
              <w:t>F01 Smart Plant Care</w:t>
            </w:r>
          </w:p>
        </w:tc>
        <w:tc>
          <w:tcPr>
            <w:tcW w:type="dxa" w:w="5184"/>
            <w:vAlign w:val="center"/>
          </w:tcPr>
          <w:p>
            <w:r/>
            <w:r>
              <w:rPr>
                <w:b w:val="0"/>
                <w:sz w:val="16"/>
              </w:rPr>
              <w:t>Plant-specific care and watering remain separate.</w:t>
            </w:r>
          </w:p>
        </w:tc>
      </w:tr>
      <w:tr>
        <w:trPr>
          <w:cantSplit/>
        </w:trPr>
        <w:tc>
          <w:tcPr>
            <w:tcW w:type="dxa" w:w="5184"/>
            <w:vAlign w:val="center"/>
          </w:tcPr>
          <w:p>
            <w:r/>
            <w:r>
              <w:rPr>
                <w:b w:val="0"/>
                <w:sz w:val="16"/>
              </w:rPr>
              <w:t>F02 Weather-Aware Gardening</w:t>
            </w:r>
          </w:p>
        </w:tc>
        <w:tc>
          <w:tcPr>
            <w:tcW w:type="dxa" w:w="5184"/>
            <w:vAlign w:val="center"/>
          </w:tcPr>
          <w:p>
            <w:r/>
            <w:r>
              <w:rPr>
                <w:b w:val="0"/>
                <w:sz w:val="16"/>
              </w:rPr>
              <w:t>Weather-aware context remains separate.</w:t>
            </w:r>
          </w:p>
        </w:tc>
      </w:tr>
      <w:tr>
        <w:trPr>
          <w:cantSplit/>
        </w:trPr>
        <w:tc>
          <w:tcPr>
            <w:tcW w:type="dxa" w:w="5184"/>
            <w:vAlign w:val="center"/>
          </w:tcPr>
          <w:p>
            <w:r/>
            <w:r>
              <w:rPr>
                <w:b w:val="0"/>
                <w:sz w:val="16"/>
              </w:rPr>
              <w:t>F03 Plant Health and Protection</w:t>
            </w:r>
          </w:p>
        </w:tc>
        <w:tc>
          <w:tcPr>
            <w:tcW w:type="dxa" w:w="5184"/>
            <w:vAlign w:val="center"/>
          </w:tcPr>
          <w:p>
            <w:r/>
            <w:r>
              <w:rPr>
                <w:b w:val="0"/>
                <w:sz w:val="16"/>
              </w:rPr>
              <w:t>Plant-health identification and treatment remain separate.</w:t>
            </w:r>
          </w:p>
        </w:tc>
      </w:tr>
      <w:tr>
        <w:trPr>
          <w:cantSplit/>
        </w:trPr>
        <w:tc>
          <w:tcPr>
            <w:tcW w:type="dxa" w:w="5184"/>
            <w:vAlign w:val="center"/>
          </w:tcPr>
          <w:p>
            <w:r/>
            <w:r>
              <w:rPr>
                <w:b w:val="0"/>
                <w:sz w:val="16"/>
              </w:rPr>
              <w:t>F04 Global Plant Intelligence</w:t>
            </w:r>
          </w:p>
        </w:tc>
        <w:tc>
          <w:tcPr>
            <w:tcW w:type="dxa" w:w="5184"/>
            <w:vAlign w:val="center"/>
          </w:tcPr>
          <w:p>
            <w:r/>
            <w:r>
              <w:rPr>
                <w:b w:val="0"/>
                <w:sz w:val="16"/>
              </w:rPr>
              <w:t>Regional plant intelligence remains separate; F04 retains plant-knowledge and localisation capability ownership.</w:t>
            </w:r>
          </w:p>
        </w:tc>
      </w:tr>
      <w:tr>
        <w:trPr>
          <w:cantSplit/>
        </w:trPr>
        <w:tc>
          <w:tcPr>
            <w:tcW w:type="dxa" w:w="5184"/>
            <w:vAlign w:val="center"/>
          </w:tcPr>
          <w:p>
            <w:r/>
            <w:r>
              <w:rPr>
                <w:b w:val="0"/>
                <w:sz w:val="16"/>
              </w:rPr>
              <w:t>F05 Personalised Garden Experience</w:t>
            </w:r>
          </w:p>
        </w:tc>
        <w:tc>
          <w:tcPr>
            <w:tcW w:type="dxa" w:w="5184"/>
            <w:vAlign w:val="center"/>
          </w:tcPr>
          <w:p>
            <w:r/>
            <w:r>
              <w:rPr>
                <w:b w:val="0"/>
                <w:sz w:val="16"/>
              </w:rPr>
              <w:t>Gardener profiles and personalisation remain separate.</w:t>
            </w:r>
          </w:p>
        </w:tc>
      </w:tr>
      <w:tr>
        <w:trPr>
          <w:cantSplit/>
        </w:trPr>
        <w:tc>
          <w:tcPr>
            <w:tcW w:type="dxa" w:w="5184"/>
            <w:vAlign w:val="center"/>
          </w:tcPr>
          <w:p>
            <w:r/>
            <w:r>
              <w:rPr>
                <w:b w:val="0"/>
                <w:sz w:val="16"/>
              </w:rPr>
              <w:t>F06 Platform Scalability and Global Readiness</w:t>
            </w:r>
          </w:p>
        </w:tc>
        <w:tc>
          <w:tcPr>
            <w:tcW w:type="dxa" w:w="5184"/>
            <w:vAlign w:val="center"/>
          </w:tcPr>
          <w:p>
            <w:r/>
            <w:r>
              <w:rPr>
                <w:b w:val="0"/>
                <w:sz w:val="16"/>
              </w:rPr>
              <w:t>Broader platform scale and global-readiness assessment remains the F06 capability.</w:t>
            </w:r>
          </w:p>
        </w:tc>
      </w:tr>
    </w:tbl>
    <w:p>
      <w:r>
        <w:t>QA finding: no cross-epic capability is absorbed into F06, and F04 localisation ownership remains explicit. The five-sibling boundary is used consistently.</w:t>
      </w:r>
    </w:p>
    <w:p>
      <w:pPr>
        <w:pStyle w:val="Heading1"/>
      </w:pPr>
      <w:r>
        <w:t>5. ID and Delivery Integrity</w:t>
      </w:r>
    </w:p>
    <w:tbl>
      <w:tblPr>
        <w:tblStyle w:val="TableGrid"/>
        <w:tblW w:type="auto" w:w="0"/>
        <w:jc w:val="center"/>
        <w:tblLook w:firstColumn="1" w:firstRow="1" w:lastColumn="0" w:lastRow="0" w:noHBand="0" w:noVBand="1" w:val="04A0"/>
      </w:tblPr>
      <w:tblGrid>
        <w:gridCol w:w="5184"/>
        <w:gridCol w:w="5184"/>
      </w:tblGrid>
      <w:tr>
        <w:trPr>
          <w:cantSplit/>
        </w:trPr>
        <w:tc>
          <w:tcPr>
            <w:tcW w:type="dxa" w:w="5184"/>
            <w:vAlign w:val="center"/>
            <w:shd w:fill="EDEDED"/>
          </w:tcPr>
          <w:p>
            <w:r/>
            <w:r>
              <w:rPr>
                <w:b/>
                <w:sz w:val="16"/>
              </w:rPr>
              <w:t>Control</w:t>
            </w:r>
          </w:p>
        </w:tc>
        <w:tc>
          <w:tcPr>
            <w:tcW w:type="dxa" w:w="5184"/>
            <w:vAlign w:val="center"/>
            <w:shd w:fill="EDEDED"/>
          </w:tcPr>
          <w:p>
            <w:r/>
            <w:r>
              <w:rPr>
                <w:b/>
                <w:sz w:val="16"/>
              </w:rPr>
              <w:t>QA finding</w:t>
            </w:r>
          </w:p>
        </w:tc>
      </w:tr>
      <w:tr>
        <w:trPr>
          <w:cantSplit/>
        </w:trPr>
        <w:tc>
          <w:tcPr>
            <w:tcW w:type="dxa" w:w="5184"/>
            <w:vAlign w:val="center"/>
          </w:tcPr>
          <w:p>
            <w:r/>
            <w:r>
              <w:rPr>
                <w:b w:val="0"/>
                <w:sz w:val="16"/>
              </w:rPr>
              <w:t>Future requirement IDs</w:t>
            </w:r>
          </w:p>
        </w:tc>
        <w:tc>
          <w:tcPr>
            <w:tcW w:type="dxa" w:w="5184"/>
            <w:vAlign w:val="center"/>
          </w:tcPr>
          <w:p>
            <w:r/>
            <w:r>
              <w:rPr>
                <w:b w:val="0"/>
                <w:sz w:val="16"/>
              </w:rPr>
              <w:t>None assigned</w:t>
            </w:r>
          </w:p>
        </w:tc>
      </w:tr>
      <w:tr>
        <w:trPr>
          <w:cantSplit/>
        </w:trPr>
        <w:tc>
          <w:tcPr>
            <w:tcW w:type="dxa" w:w="5184"/>
            <w:vAlign w:val="center"/>
          </w:tcPr>
          <w:p>
            <w:r/>
            <w:r>
              <w:rPr>
                <w:b w:val="0"/>
                <w:sz w:val="16"/>
              </w:rPr>
              <w:t>Future story ID</w:t>
            </w:r>
          </w:p>
        </w:tc>
        <w:tc>
          <w:tcPr>
            <w:tcW w:type="dxa" w:w="5184"/>
            <w:vAlign w:val="center"/>
          </w:tcPr>
          <w:p>
            <w:r/>
            <w:r>
              <w:rPr>
                <w:b w:val="0"/>
                <w:sz w:val="16"/>
              </w:rPr>
              <w:t>None assigned</w:t>
            </w:r>
          </w:p>
        </w:tc>
      </w:tr>
      <w:tr>
        <w:trPr>
          <w:cantSplit/>
        </w:trPr>
        <w:tc>
          <w:tcPr>
            <w:tcW w:type="dxa" w:w="5184"/>
            <w:vAlign w:val="center"/>
          </w:tcPr>
          <w:p>
            <w:r/>
            <w:r>
              <w:rPr>
                <w:b w:val="0"/>
                <w:sz w:val="16"/>
              </w:rPr>
              <w:t>MVP FR-01 to FR-09</w:t>
            </w:r>
          </w:p>
        </w:tc>
        <w:tc>
          <w:tcPr>
            <w:tcW w:type="dxa" w:w="5184"/>
            <w:vAlign w:val="center"/>
          </w:tcPr>
          <w:p>
            <w:r/>
            <w:r>
              <w:rPr>
                <w:b w:val="0"/>
                <w:sz w:val="16"/>
              </w:rPr>
              <w:t>No changes</w:t>
            </w:r>
          </w:p>
        </w:tc>
      </w:tr>
      <w:tr>
        <w:trPr>
          <w:cantSplit/>
        </w:trPr>
        <w:tc>
          <w:tcPr>
            <w:tcW w:type="dxa" w:w="5184"/>
            <w:vAlign w:val="center"/>
          </w:tcPr>
          <w:p>
            <w:r/>
            <w:r>
              <w:rPr>
                <w:b w:val="0"/>
                <w:sz w:val="16"/>
              </w:rPr>
              <w:t>F01 FR-10 / FR-11 / US-08</w:t>
            </w:r>
          </w:p>
        </w:tc>
        <w:tc>
          <w:tcPr>
            <w:tcW w:type="dxa" w:w="5184"/>
            <w:vAlign w:val="center"/>
          </w:tcPr>
          <w:p>
            <w:r/>
            <w:r>
              <w:rPr>
                <w:b w:val="0"/>
                <w:sz w:val="16"/>
              </w:rPr>
              <w:t>No reuse or collision</w:t>
            </w:r>
          </w:p>
        </w:tc>
      </w:tr>
      <w:tr>
        <w:trPr>
          <w:cantSplit/>
        </w:trPr>
        <w:tc>
          <w:tcPr>
            <w:tcW w:type="dxa" w:w="5184"/>
            <w:vAlign w:val="center"/>
          </w:tcPr>
          <w:p>
            <w:r/>
            <w:r>
              <w:rPr>
                <w:b w:val="0"/>
                <w:sz w:val="16"/>
              </w:rPr>
              <w:t>Stakeholder IDs</w:t>
            </w:r>
          </w:p>
        </w:tc>
        <w:tc>
          <w:tcPr>
            <w:tcW w:type="dxa" w:w="5184"/>
            <w:vAlign w:val="center"/>
          </w:tcPr>
          <w:p>
            <w:r/>
            <w:r>
              <w:rPr>
                <w:b w:val="0"/>
                <w:sz w:val="16"/>
              </w:rPr>
              <w:t>No new stakeholder IDs assigned</w:t>
            </w:r>
          </w:p>
        </w:tc>
      </w:tr>
      <w:tr>
        <w:trPr>
          <w:cantSplit/>
        </w:trPr>
        <w:tc>
          <w:tcPr>
            <w:tcW w:type="dxa" w:w="5184"/>
            <w:vAlign w:val="center"/>
          </w:tcPr>
          <w:p>
            <w:r/>
            <w:r>
              <w:rPr>
                <w:b w:val="0"/>
                <w:sz w:val="16"/>
              </w:rPr>
              <w:t>NFR IDs</w:t>
            </w:r>
          </w:p>
        </w:tc>
        <w:tc>
          <w:tcPr>
            <w:tcW w:type="dxa" w:w="5184"/>
            <w:vAlign w:val="center"/>
          </w:tcPr>
          <w:p>
            <w:r/>
            <w:r>
              <w:rPr>
                <w:b w:val="0"/>
                <w:sz w:val="16"/>
              </w:rPr>
              <w:t>None assigned</w:t>
            </w:r>
          </w:p>
        </w:tc>
      </w:tr>
      <w:tr>
        <w:trPr>
          <w:cantSplit/>
        </w:trPr>
        <w:tc>
          <w:tcPr>
            <w:tcW w:type="dxa" w:w="5184"/>
            <w:vAlign w:val="center"/>
          </w:tcPr>
          <w:p>
            <w:r/>
            <w:r>
              <w:rPr>
                <w:b w:val="0"/>
                <w:sz w:val="16"/>
              </w:rPr>
              <w:t>Story Points</w:t>
            </w:r>
          </w:p>
        </w:tc>
        <w:tc>
          <w:tcPr>
            <w:tcW w:type="dxa" w:w="5184"/>
            <w:vAlign w:val="center"/>
          </w:tcPr>
          <w:p>
            <w:r/>
            <w:r>
              <w:rPr>
                <w:b w:val="0"/>
                <w:sz w:val="16"/>
              </w:rPr>
              <w:t>Not assigned</w:t>
            </w:r>
          </w:p>
        </w:tc>
      </w:tr>
      <w:tr>
        <w:trPr>
          <w:cantSplit/>
        </w:trPr>
        <w:tc>
          <w:tcPr>
            <w:tcW w:type="dxa" w:w="5184"/>
            <w:vAlign w:val="center"/>
          </w:tcPr>
          <w:p>
            <w:r/>
            <w:r>
              <w:rPr>
                <w:b w:val="0"/>
                <w:sz w:val="16"/>
              </w:rPr>
              <w:t>Bugs</w:t>
            </w:r>
          </w:p>
        </w:tc>
        <w:tc>
          <w:tcPr>
            <w:tcW w:type="dxa" w:w="5184"/>
            <w:vAlign w:val="center"/>
          </w:tcPr>
          <w:p>
            <w:r/>
            <w:r>
              <w:rPr>
                <w:b w:val="0"/>
                <w:sz w:val="16"/>
              </w:rPr>
              <w:t>None created</w:t>
            </w:r>
          </w:p>
        </w:tc>
      </w:tr>
      <w:tr>
        <w:trPr>
          <w:cantSplit/>
        </w:trPr>
        <w:tc>
          <w:tcPr>
            <w:tcW w:type="dxa" w:w="5184"/>
            <w:vAlign w:val="center"/>
          </w:tcPr>
          <w:p>
            <w:r/>
            <w:r>
              <w:rPr>
                <w:b w:val="0"/>
                <w:sz w:val="16"/>
              </w:rPr>
              <w:t>Jira creation</w:t>
            </w:r>
          </w:p>
        </w:tc>
        <w:tc>
          <w:tcPr>
            <w:tcW w:type="dxa" w:w="5184"/>
            <w:vAlign w:val="center"/>
          </w:tcPr>
          <w:p>
            <w:r/>
            <w:r>
              <w:rPr>
                <w:b w:val="0"/>
                <w:sz w:val="16"/>
              </w:rPr>
              <w:t>Not approved</w:t>
            </w:r>
          </w:p>
        </w:tc>
      </w:tr>
      <w:tr>
        <w:trPr>
          <w:cantSplit/>
        </w:trPr>
        <w:tc>
          <w:tcPr>
            <w:tcW w:type="dxa" w:w="5184"/>
            <w:vAlign w:val="center"/>
          </w:tcPr>
          <w:p>
            <w:r/>
            <w:r>
              <w:rPr>
                <w:b w:val="0"/>
                <w:sz w:val="16"/>
              </w:rPr>
              <w:t>Formal acceptance criteria</w:t>
            </w:r>
          </w:p>
        </w:tc>
        <w:tc>
          <w:tcPr>
            <w:tcW w:type="dxa" w:w="5184"/>
            <w:vAlign w:val="center"/>
          </w:tcPr>
          <w:p>
            <w:r/>
            <w:r>
              <w:rPr>
                <w:b w:val="0"/>
                <w:sz w:val="16"/>
              </w:rPr>
              <w:t>Deferred</w:t>
            </w:r>
          </w:p>
        </w:tc>
      </w:tr>
      <w:tr>
        <w:trPr>
          <w:cantSplit/>
        </w:trPr>
        <w:tc>
          <w:tcPr>
            <w:tcW w:type="dxa" w:w="5184"/>
            <w:vAlign w:val="center"/>
          </w:tcPr>
          <w:p>
            <w:r/>
            <w:r>
              <w:rPr>
                <w:b w:val="0"/>
                <w:sz w:val="16"/>
              </w:rPr>
              <w:t>Production or delivery claims</w:t>
            </w:r>
          </w:p>
        </w:tc>
        <w:tc>
          <w:tcPr>
            <w:tcW w:type="dxa" w:w="5184"/>
            <w:vAlign w:val="center"/>
          </w:tcPr>
          <w:p>
            <w:r/>
            <w:r>
              <w:rPr>
                <w:b w:val="0"/>
                <w:sz w:val="16"/>
              </w:rPr>
              <w:t>None</w:t>
            </w:r>
          </w:p>
        </w:tc>
      </w:tr>
    </w:tbl>
    <w:p>
      <w:pPr>
        <w:pStyle w:val="Heading1"/>
        <w:pageBreakBefore/>
      </w:pPr>
      <w:r>
        <w:t>6. Governance and Business-Case Boundary</w:t>
      </w:r>
    </w:p>
    <w:p>
      <w:r>
        <w:t>I kept F06 governance distinct from F01 content authority, F02 weather, F03 plant health, F04 regional plant intelligence and F05 personalisation. F06 adds scale, operating-model, cost and business-case questions without turning them into resolved decisions.</w:t>
      </w:r>
    </w:p>
    <w:tbl>
      <w:tblPr>
        <w:tblStyle w:val="TableGrid"/>
        <w:tblW w:type="auto" w:w="0"/>
        <w:jc w:val="center"/>
        <w:tblLook w:firstColumn="1" w:firstRow="1" w:lastColumn="0" w:lastRow="0" w:noHBand="0" w:noVBand="1" w:val="04A0"/>
      </w:tblPr>
      <w:tblGrid>
        <w:gridCol w:w="5184"/>
        <w:gridCol w:w="5184"/>
      </w:tblGrid>
      <w:tr>
        <w:trPr>
          <w:cantSplit/>
        </w:trPr>
        <w:tc>
          <w:tcPr>
            <w:tcW w:type="dxa" w:w="5184"/>
            <w:vAlign w:val="center"/>
            <w:shd w:fill="EDEDED"/>
          </w:tcPr>
          <w:p>
            <w:r/>
            <w:r>
              <w:rPr>
                <w:b/>
                <w:sz w:val="16"/>
              </w:rPr>
              <w:t>Governance area</w:t>
            </w:r>
          </w:p>
        </w:tc>
        <w:tc>
          <w:tcPr>
            <w:tcW w:type="dxa" w:w="5184"/>
            <w:vAlign w:val="center"/>
            <w:shd w:fill="EDEDED"/>
          </w:tcPr>
          <w:p>
            <w:r/>
            <w:r>
              <w:rPr>
                <w:b/>
                <w:sz w:val="16"/>
              </w:rPr>
              <w:t>Current QA position</w:t>
            </w:r>
          </w:p>
        </w:tc>
      </w:tr>
      <w:tr>
        <w:trPr>
          <w:cantSplit/>
        </w:trPr>
        <w:tc>
          <w:tcPr>
            <w:tcW w:type="dxa" w:w="5184"/>
            <w:vAlign w:val="center"/>
          </w:tcPr>
          <w:p>
            <w:r/>
            <w:r>
              <w:rPr>
                <w:b w:val="0"/>
                <w:sz w:val="16"/>
              </w:rPr>
              <w:t>Product Owner / GreenSphere</w:t>
            </w:r>
          </w:p>
        </w:tc>
        <w:tc>
          <w:tcPr>
            <w:tcW w:type="dxa" w:w="5184"/>
            <w:vAlign w:val="center"/>
          </w:tcPr>
          <w:p>
            <w:r/>
            <w:r>
              <w:rPr>
                <w:b w:val="0"/>
                <w:sz w:val="16"/>
              </w:rPr>
              <w:t>Governance role for scale need, value, priority and eventual decision</w:t>
            </w:r>
          </w:p>
        </w:tc>
      </w:tr>
      <w:tr>
        <w:trPr>
          <w:cantSplit/>
        </w:trPr>
        <w:tc>
          <w:tcPr>
            <w:tcW w:type="dxa" w:w="5184"/>
            <w:vAlign w:val="center"/>
          </w:tcPr>
          <w:p>
            <w:r/>
            <w:r>
              <w:rPr>
                <w:b w:val="0"/>
                <w:sz w:val="16"/>
              </w:rPr>
              <w:t>Technical / Architecture</w:t>
            </w:r>
          </w:p>
        </w:tc>
        <w:tc>
          <w:tcPr>
            <w:tcW w:type="dxa" w:w="5184"/>
            <w:vAlign w:val="center"/>
          </w:tcPr>
          <w:p>
            <w:r/>
            <w:r>
              <w:rPr>
                <w:b w:val="0"/>
                <w:sz w:val="16"/>
              </w:rPr>
              <w:t>Delivery dependency for capacity, integration, resilience and technical constraints</w:t>
            </w:r>
          </w:p>
        </w:tc>
      </w:tr>
      <w:tr>
        <w:trPr>
          <w:cantSplit/>
        </w:trPr>
        <w:tc>
          <w:tcPr>
            <w:tcW w:type="dxa" w:w="5184"/>
            <w:vAlign w:val="center"/>
          </w:tcPr>
          <w:p>
            <w:r/>
            <w:r>
              <w:rPr>
                <w:b w:val="0"/>
                <w:sz w:val="16"/>
              </w:rPr>
              <w:t>Operations / Support</w:t>
            </w:r>
          </w:p>
        </w:tc>
        <w:tc>
          <w:tcPr>
            <w:tcW w:type="dxa" w:w="5184"/>
            <w:vAlign w:val="center"/>
          </w:tcPr>
          <w:p>
            <w:r/>
            <w:r>
              <w:rPr>
                <w:b w:val="0"/>
                <w:sz w:val="16"/>
              </w:rPr>
              <w:t>Open governance question for monitoring, support and service continuity</w:t>
            </w:r>
          </w:p>
        </w:tc>
      </w:tr>
      <w:tr>
        <w:trPr>
          <w:cantSplit/>
        </w:trPr>
        <w:tc>
          <w:tcPr>
            <w:tcW w:type="dxa" w:w="5184"/>
            <w:vAlign w:val="center"/>
          </w:tcPr>
          <w:p>
            <w:r/>
            <w:r>
              <w:rPr>
                <w:b w:val="0"/>
                <w:sz w:val="16"/>
              </w:rPr>
              <w:t>Content / Regional expertise</w:t>
            </w:r>
          </w:p>
        </w:tc>
        <w:tc>
          <w:tcPr>
            <w:tcW w:type="dxa" w:w="5184"/>
            <w:vAlign w:val="center"/>
          </w:tcPr>
          <w:p>
            <w:r/>
            <w:r>
              <w:rPr>
                <w:b w:val="0"/>
                <w:sz w:val="16"/>
              </w:rPr>
              <w:t>Cross-epic dependency; F04 remains capability owner</w:t>
            </w:r>
          </w:p>
        </w:tc>
      </w:tr>
      <w:tr>
        <w:trPr>
          <w:cantSplit/>
        </w:trPr>
        <w:tc>
          <w:tcPr>
            <w:tcW w:type="dxa" w:w="5184"/>
            <w:vAlign w:val="center"/>
          </w:tcPr>
          <w:p>
            <w:r/>
            <w:r>
              <w:rPr>
                <w:b w:val="0"/>
                <w:sz w:val="16"/>
              </w:rPr>
              <w:t>Cost / Commercial expertise</w:t>
            </w:r>
          </w:p>
        </w:tc>
        <w:tc>
          <w:tcPr>
            <w:tcW w:type="dxa" w:w="5184"/>
            <w:vAlign w:val="center"/>
          </w:tcPr>
          <w:p>
            <w:r/>
            <w:r>
              <w:rPr>
                <w:b w:val="0"/>
                <w:sz w:val="16"/>
              </w:rPr>
              <w:t>Open governance question for cost drivers and business-case assumptions</w:t>
            </w:r>
          </w:p>
        </w:tc>
      </w:tr>
      <w:tr>
        <w:trPr>
          <w:cantSplit/>
        </w:trPr>
        <w:tc>
          <w:tcPr>
            <w:tcW w:type="dxa" w:w="5184"/>
            <w:vAlign w:val="center"/>
          </w:tcPr>
          <w:p>
            <w:r/>
            <w:r>
              <w:rPr>
                <w:b w:val="0"/>
                <w:sz w:val="16"/>
              </w:rPr>
              <w:t>Upstream capability maturity</w:t>
            </w:r>
          </w:p>
        </w:tc>
        <w:tc>
          <w:tcPr>
            <w:tcW w:type="dxa" w:w="5184"/>
            <w:vAlign w:val="center"/>
          </w:tcPr>
          <w:p>
            <w:r/>
            <w:r>
              <w:rPr>
                <w:b w:val="0"/>
                <w:sz w:val="16"/>
              </w:rPr>
              <w:t>Explicit progression gate for deciding which F01-F05 capabilities must be mature, evidenced or bounded before F06 scale assessment is relied upon</w:t>
            </w:r>
          </w:p>
        </w:tc>
      </w:tr>
    </w:tbl>
    <w:p>
      <w:pPr>
        <w:pStyle w:val="Heading1"/>
      </w:pPr>
      <w:r>
        <w:t>7. Mechanical and Structural QA</w:t>
      </w:r>
    </w:p>
    <w:tbl>
      <w:tblPr>
        <w:tblStyle w:val="TableGrid"/>
        <w:tblW w:type="auto" w:w="0"/>
        <w:jc w:val="center"/>
        <w:tblLook w:firstColumn="1" w:firstRow="1" w:lastColumn="0" w:lastRow="0" w:noHBand="0" w:noVBand="1" w:val="04A0"/>
      </w:tblPr>
      <w:tblGrid>
        <w:gridCol w:w="5184"/>
        <w:gridCol w:w="5184"/>
      </w:tblGrid>
      <w:tr>
        <w:trPr>
          <w:cantSplit/>
        </w:trPr>
        <w:tc>
          <w:tcPr>
            <w:tcW w:type="dxa" w:w="5184"/>
            <w:vAlign w:val="center"/>
            <w:shd w:fill="EDEDED"/>
          </w:tcPr>
          <w:p>
            <w:r/>
            <w:r>
              <w:rPr>
                <w:b/>
                <w:sz w:val="16"/>
              </w:rPr>
              <w:t>Check</w:t>
            </w:r>
          </w:p>
        </w:tc>
        <w:tc>
          <w:tcPr>
            <w:tcW w:type="dxa" w:w="5184"/>
            <w:vAlign w:val="center"/>
            <w:shd w:fill="EDEDED"/>
          </w:tcPr>
          <w:p>
            <w:r/>
            <w:r>
              <w:rPr>
                <w:b/>
                <w:sz w:val="16"/>
              </w:rPr>
              <w:t>Result</w:t>
            </w:r>
          </w:p>
        </w:tc>
      </w:tr>
      <w:tr>
        <w:trPr>
          <w:cantSplit/>
        </w:trPr>
        <w:tc>
          <w:tcPr>
            <w:tcW w:type="dxa" w:w="5184"/>
            <w:vAlign w:val="center"/>
          </w:tcPr>
          <w:p>
            <w:r/>
            <w:r>
              <w:rPr>
                <w:b w:val="0"/>
                <w:sz w:val="16"/>
              </w:rPr>
              <w:t>Feature-name preservation</w:t>
            </w:r>
          </w:p>
        </w:tc>
        <w:tc>
          <w:tcPr>
            <w:tcW w:type="dxa" w:w="5184"/>
            <w:vAlign w:val="center"/>
          </w:tcPr>
          <w:p>
            <w:r/>
            <w:r>
              <w:rPr>
                <w:b w:val="0"/>
                <w:sz w:val="16"/>
              </w:rPr>
              <w:t>PASS</w:t>
            </w:r>
          </w:p>
        </w:tc>
      </w:tr>
      <w:tr>
        <w:trPr>
          <w:cantSplit/>
        </w:trPr>
        <w:tc>
          <w:tcPr>
            <w:tcW w:type="dxa" w:w="5184"/>
            <w:vAlign w:val="center"/>
          </w:tcPr>
          <w:p>
            <w:r/>
            <w:r>
              <w:rPr>
                <w:b w:val="0"/>
                <w:sz w:val="16"/>
              </w:rPr>
              <w:t>Ten-gate count and order</w:t>
            </w:r>
          </w:p>
        </w:tc>
        <w:tc>
          <w:tcPr>
            <w:tcW w:type="dxa" w:w="5184"/>
            <w:vAlign w:val="center"/>
          </w:tcPr>
          <w:p>
            <w:r/>
            <w:r>
              <w:rPr>
                <w:b w:val="0"/>
                <w:sz w:val="16"/>
              </w:rPr>
              <w:t>PASS</w:t>
            </w:r>
          </w:p>
        </w:tc>
      </w:tr>
      <w:tr>
        <w:trPr>
          <w:cantSplit/>
        </w:trPr>
        <w:tc>
          <w:tcPr>
            <w:tcW w:type="dxa" w:w="5184"/>
            <w:vAlign w:val="center"/>
          </w:tcPr>
          <w:p>
            <w:r/>
            <w:r>
              <w:rPr>
                <w:b w:val="0"/>
                <w:sz w:val="16"/>
              </w:rPr>
              <w:t>Gate 7 Upstream capability maturity position</w:t>
            </w:r>
          </w:p>
        </w:tc>
        <w:tc>
          <w:tcPr>
            <w:tcW w:type="dxa" w:w="5184"/>
            <w:vAlign w:val="center"/>
          </w:tcPr>
          <w:p>
            <w:r/>
            <w:r>
              <w:rPr>
                <w:b w:val="0"/>
                <w:sz w:val="16"/>
              </w:rPr>
              <w:t>PASS</w:t>
            </w:r>
          </w:p>
        </w:tc>
      </w:tr>
      <w:tr>
        <w:trPr>
          <w:cantSplit/>
        </w:trPr>
        <w:tc>
          <w:tcPr>
            <w:tcW w:type="dxa" w:w="5184"/>
            <w:vAlign w:val="center"/>
          </w:tcPr>
          <w:p>
            <w:r/>
            <w:r>
              <w:rPr>
                <w:b w:val="0"/>
                <w:sz w:val="16"/>
              </w:rPr>
              <w:t>Five-epic boundary wording</w:t>
            </w:r>
          </w:p>
        </w:tc>
        <w:tc>
          <w:tcPr>
            <w:tcW w:type="dxa" w:w="5184"/>
            <w:vAlign w:val="center"/>
          </w:tcPr>
          <w:p>
            <w:r/>
            <w:r>
              <w:rPr>
                <w:b w:val="0"/>
                <w:sz w:val="16"/>
              </w:rPr>
              <w:t>PASS</w:t>
            </w:r>
          </w:p>
        </w:tc>
      </w:tr>
      <w:tr>
        <w:trPr>
          <w:cantSplit/>
        </w:trPr>
        <w:tc>
          <w:tcPr>
            <w:tcW w:type="dxa" w:w="5184"/>
            <w:vAlign w:val="center"/>
          </w:tcPr>
          <w:p>
            <w:r/>
            <w:r>
              <w:rPr>
                <w:b w:val="0"/>
                <w:sz w:val="16"/>
              </w:rPr>
              <w:t>Future ID collisions</w:t>
            </w:r>
          </w:p>
        </w:tc>
        <w:tc>
          <w:tcPr>
            <w:tcW w:type="dxa" w:w="5184"/>
            <w:vAlign w:val="center"/>
          </w:tcPr>
          <w:p>
            <w:r/>
            <w:r>
              <w:rPr>
                <w:b w:val="0"/>
                <w:sz w:val="16"/>
              </w:rPr>
              <w:t>PASS: none created</w:t>
            </w:r>
          </w:p>
        </w:tc>
      </w:tr>
      <w:tr>
        <w:trPr>
          <w:cantSplit/>
        </w:trPr>
        <w:tc>
          <w:tcPr>
            <w:tcW w:type="dxa" w:w="5184"/>
            <w:vAlign w:val="center"/>
          </w:tcPr>
          <w:p>
            <w:r/>
            <w:r>
              <w:rPr>
                <w:b w:val="0"/>
                <w:sz w:val="16"/>
              </w:rPr>
              <w:t>MVP scope leakage</w:t>
            </w:r>
          </w:p>
        </w:tc>
        <w:tc>
          <w:tcPr>
            <w:tcW w:type="dxa" w:w="5184"/>
            <w:vAlign w:val="center"/>
          </w:tcPr>
          <w:p>
            <w:r/>
            <w:r>
              <w:rPr>
                <w:b w:val="0"/>
                <w:sz w:val="16"/>
              </w:rPr>
              <w:t>PASS: none</w:t>
            </w:r>
          </w:p>
        </w:tc>
      </w:tr>
      <w:tr>
        <w:trPr>
          <w:cantSplit/>
        </w:trPr>
        <w:tc>
          <w:tcPr>
            <w:tcW w:type="dxa" w:w="5184"/>
            <w:vAlign w:val="center"/>
          </w:tcPr>
          <w:p>
            <w:r/>
            <w:r>
              <w:rPr>
                <w:b w:val="0"/>
                <w:sz w:val="16"/>
              </w:rPr>
              <w:t>Acceptance-criteria invention</w:t>
            </w:r>
          </w:p>
        </w:tc>
        <w:tc>
          <w:tcPr>
            <w:tcW w:type="dxa" w:w="5184"/>
            <w:vAlign w:val="center"/>
          </w:tcPr>
          <w:p>
            <w:r/>
            <w:r>
              <w:rPr>
                <w:b w:val="0"/>
                <w:sz w:val="16"/>
              </w:rPr>
              <w:t>PASS: deferred</w:t>
            </w:r>
          </w:p>
        </w:tc>
      </w:tr>
      <w:tr>
        <w:trPr>
          <w:cantSplit/>
        </w:trPr>
        <w:tc>
          <w:tcPr>
            <w:tcW w:type="dxa" w:w="5184"/>
            <w:vAlign w:val="center"/>
          </w:tcPr>
          <w:p>
            <w:r/>
            <w:r>
              <w:rPr>
                <w:b w:val="0"/>
                <w:sz w:val="16"/>
              </w:rPr>
              <w:t>Jira readiness overstatement</w:t>
            </w:r>
          </w:p>
        </w:tc>
        <w:tc>
          <w:tcPr>
            <w:tcW w:type="dxa" w:w="5184"/>
            <w:vAlign w:val="center"/>
          </w:tcPr>
          <w:p>
            <w:r/>
            <w:r>
              <w:rPr>
                <w:b w:val="0"/>
                <w:sz w:val="16"/>
              </w:rPr>
              <w:t>PASS: not approved</w:t>
            </w:r>
          </w:p>
        </w:tc>
      </w:tr>
      <w:tr>
        <w:trPr>
          <w:cantSplit/>
        </w:trPr>
        <w:tc>
          <w:tcPr>
            <w:tcW w:type="dxa" w:w="5184"/>
            <w:vAlign w:val="center"/>
          </w:tcPr>
          <w:p>
            <w:r/>
            <w:r>
              <w:rPr>
                <w:b w:val="0"/>
                <w:sz w:val="16"/>
              </w:rPr>
              <w:t>Reversal construction / em-dash controls</w:t>
            </w:r>
          </w:p>
        </w:tc>
        <w:tc>
          <w:tcPr>
            <w:tcW w:type="dxa" w:w="5184"/>
            <w:vAlign w:val="center"/>
          </w:tcPr>
          <w:p>
            <w:r/>
            <w:r>
              <w:rPr>
                <w:b w:val="0"/>
                <w:sz w:val="16"/>
              </w:rPr>
              <w:t>PASS</w:t>
            </w:r>
          </w:p>
        </w:tc>
      </w:tr>
      <w:tr>
        <w:trPr>
          <w:cantSplit/>
        </w:trPr>
        <w:tc>
          <w:tcPr>
            <w:tcW w:type="dxa" w:w="5184"/>
            <w:vAlign w:val="center"/>
          </w:tcPr>
          <w:p>
            <w:r/>
            <w:r>
              <w:rPr>
                <w:b w:val="0"/>
                <w:sz w:val="16"/>
              </w:rPr>
              <w:t>Pass 2 to Pass 3 structural integrity</w:t>
            </w:r>
          </w:p>
        </w:tc>
        <w:tc>
          <w:tcPr>
            <w:tcW w:type="dxa" w:w="5184"/>
            <w:vAlign w:val="center"/>
          </w:tcPr>
          <w:p>
            <w:r/>
            <w:r>
              <w:rPr>
                <w:b w:val="0"/>
                <w:sz w:val="16"/>
              </w:rPr>
              <w:t>PASS</w:t>
            </w:r>
          </w:p>
        </w:tc>
      </w:tr>
    </w:tbl>
    <w:p>
      <w:pPr>
        <w:pStyle w:val="Heading1"/>
      </w:pPr>
      <w:r>
        <w:t>8. QA Decision</w:t>
      </w:r>
    </w:p>
    <w:p>
      <w:r>
        <w:t>PASS. F06 Pass 3 is structurally consistent with Pass 2, the revalidated Product Vision and Capability Map, and the established F01-F05 future-state portfolio sequence. The five-epic sibling boundary correction is confirmed. The ten-gate progression model is intact, and no future requirement, story, NFR, Story Point, Bug or Jira commitment has been introduced.</w:t>
      </w:r>
    </w:p>
    <w:p>
      <w:r>
        <w:t>Next controlled stage: Pass 5 Portfolio Packaging after this QA result is accepted.</w:t>
      </w:r>
    </w:p>
    <w:p>
      <w:pPr>
        <w:pStyle w:val="Heading1"/>
      </w:pPr>
      <w:r>
        <w:t>9. Evidence Boundary</w:t>
      </w:r>
    </w:p>
    <w:p>
      <w:r>
        <w:t>This QA package demonstrates cross-artifact requirements-engineering discipline, future-state traceability, boundary control and progression governance. It does not establish product acceptance, production readiness, sprint delivery, realised benefits or approved scale investment.</w:t>
      </w:r>
    </w:p>
    <w:p>
      <w:r>
        <w:t>Traceability note: Pass 3 uses the revalidated Product Vision and Capability Map, F06 Pass 2, and the established F01-F05 final portfolio packages.</w:t>
      </w: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4"/>
      </w:rPr>
      <w:t>EcoGrow Future-State Discovery | EPIC-F06 | Pass 4</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