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0" w:line="228" w:lineRule="auto"/>
      </w:pPr>
      <w:r>
        <w:rPr>
          <w:sz w:val="16"/>
        </w:rPr>
        <w:t>EcoGrow Future-State Discovery | EPIC-F06 | Pass 2 | Doris Frank</w:t>
      </w:r>
    </w:p>
    <w:p>
      <w:pPr>
        <w:pStyle w:val="Title"/>
        <w:spacing w:after="30" w:line="228" w:lineRule="auto"/>
        <w:jc w:val="left"/>
      </w:pPr>
      <w:r>
        <w:t>EcoGrow Future-State Discovery</w:t>
      </w:r>
    </w:p>
    <w:p>
      <w:pPr>
        <w:pStyle w:val="Heading1"/>
        <w:spacing w:after="20" w:line="228" w:lineRule="auto" w:before="60"/>
      </w:pPr>
      <w:r>
        <w:t>EPIC-F06 Platform Scalability and Global Readiness | Deep Discovery | Pass 2</w:t>
      </w:r>
    </w:p>
    <w:p>
      <w:pPr>
        <w:spacing w:after="30" w:line="228" w:lineRule="auto"/>
      </w:pPr>
      <w:r>
        <w:t>Prepared by Doris Frank, Business Analyst</w:t>
      </w:r>
    </w:p>
    <w:p>
      <w:pPr>
        <w:spacing w:after="30" w:line="228" w:lineRule="auto"/>
      </w:pPr>
      <w:r>
        <w:t>Status: Future-state discovery only. This pass does not amend the locked MVP, create Jira commitments, or represent built functionality.</w:t>
      </w:r>
    </w:p>
    <w:p>
      <w:pPr>
        <w:pStyle w:val="Heading1"/>
        <w:spacing w:before="60" w:after="20" w:line="228" w:lineRule="auto"/>
      </w:pPr>
      <w:r>
        <w:t>1. Discovery Control</w:t>
      </w:r>
    </w:p>
    <w:tbl>
      <w:tblPr>
        <w:tblStyle w:val="TableGrid"/>
        <w:tblW w:type="auto" w:w="0"/>
        <w:jc w:val="center"/>
        <w:tblLook w:firstColumn="1" w:firstRow="1" w:lastColumn="0" w:lastRow="0" w:noHBand="0" w:noVBand="1" w:val="04A0"/>
      </w:tblPr>
      <w:tblGrid>
        <w:gridCol w:w="5227"/>
        <w:gridCol w:w="5227"/>
      </w:tblGrid>
      <w:tr>
        <w:tc>
          <w:tcPr>
            <w:tcW w:type="dxa" w:w="2880"/>
            <w:shd w:fill="D9EAF7"/>
            <w:vAlign w:val="center"/>
          </w:tcPr>
          <w:p>
            <w:pPr>
              <w:spacing w:after="0" w:line="216" w:lineRule="auto"/>
            </w:pPr>
            <w:r>
              <w:rPr>
                <w:sz w:val="13"/>
              </w:rPr>
            </w:r>
            <w:r>
              <w:rPr>
                <w:rFonts w:ascii="Aptos" w:hAnsi="Aptos"/>
                <w:b/>
                <w:sz w:val="13"/>
              </w:rPr>
              <w:t>Dimension</w:t>
            </w:r>
          </w:p>
        </w:tc>
        <w:tc>
          <w:tcPr>
            <w:tcW w:type="dxa" w:w="6984"/>
            <w:shd w:fill="D9EAF7"/>
            <w:vAlign w:val="center"/>
          </w:tcPr>
          <w:p>
            <w:pPr>
              <w:spacing w:after="0" w:line="216" w:lineRule="auto"/>
            </w:pPr>
            <w:r>
              <w:rPr>
                <w:sz w:val="13"/>
              </w:rPr>
            </w:r>
            <w:r>
              <w:rPr>
                <w:rFonts w:ascii="Aptos" w:hAnsi="Aptos"/>
                <w:b/>
                <w:sz w:val="13"/>
              </w:rPr>
              <w:t>Current position</w:t>
            </w:r>
          </w:p>
        </w:tc>
      </w:tr>
      <w:tr>
        <w:tc>
          <w:tcPr>
            <w:tcW w:type="dxa" w:w="2880"/>
            <w:vAlign w:val="center"/>
          </w:tcPr>
          <w:p>
            <w:pPr>
              <w:spacing w:after="0" w:line="216" w:lineRule="auto"/>
            </w:pPr>
            <w:r>
              <w:rPr>
                <w:sz w:val="13"/>
              </w:rPr>
            </w:r>
            <w:r>
              <w:rPr>
                <w:rFonts w:ascii="Aptos" w:hAnsi="Aptos"/>
                <w:b w:val="0"/>
                <w:sz w:val="13"/>
              </w:rPr>
              <w:t>Future epic</w:t>
            </w:r>
          </w:p>
        </w:tc>
        <w:tc>
          <w:tcPr>
            <w:tcW w:type="dxa" w:w="6984"/>
            <w:vAlign w:val="center"/>
          </w:tcPr>
          <w:p>
            <w:pPr>
              <w:spacing w:after="0" w:line="216" w:lineRule="auto"/>
            </w:pPr>
            <w:r>
              <w:rPr>
                <w:sz w:val="13"/>
              </w:rPr>
            </w:r>
            <w:r>
              <w:rPr>
                <w:rFonts w:ascii="Aptos" w:hAnsi="Aptos"/>
                <w:b w:val="0"/>
                <w:sz w:val="13"/>
              </w:rPr>
              <w:t>EPIC-F06 Platform Scalability and Global Readiness</w:t>
            </w:r>
          </w:p>
        </w:tc>
      </w:tr>
      <w:tr>
        <w:tc>
          <w:tcPr>
            <w:tcW w:type="dxa" w:w="2880"/>
            <w:vAlign w:val="center"/>
          </w:tcPr>
          <w:p>
            <w:pPr>
              <w:spacing w:after="0" w:line="216" w:lineRule="auto"/>
            </w:pPr>
            <w:r>
              <w:rPr>
                <w:sz w:val="13"/>
              </w:rPr>
            </w:r>
            <w:r>
              <w:rPr>
                <w:rFonts w:ascii="Aptos" w:hAnsi="Aptos"/>
                <w:b w:val="0"/>
                <w:sz w:val="13"/>
              </w:rPr>
              <w:t>Purpose</w:t>
            </w:r>
          </w:p>
        </w:tc>
        <w:tc>
          <w:tcPr>
            <w:tcW w:type="dxa" w:w="6984"/>
            <w:vAlign w:val="center"/>
          </w:tcPr>
          <w:p>
            <w:pPr>
              <w:spacing w:after="0" w:line="216" w:lineRule="auto"/>
            </w:pPr>
            <w:r>
              <w:rPr>
                <w:sz w:val="13"/>
              </w:rPr>
            </w:r>
            <w:r>
              <w:rPr>
                <w:rFonts w:ascii="Aptos" w:hAnsi="Aptos"/>
                <w:b w:val="0"/>
                <w:sz w:val="13"/>
              </w:rPr>
              <w:t>Assess whether EcoGrow could support wider adoption across technical, operational, geographic, content and cost dimensions.</w:t>
            </w:r>
          </w:p>
        </w:tc>
      </w:tr>
      <w:tr>
        <w:tc>
          <w:tcPr>
            <w:tcW w:type="dxa" w:w="2880"/>
            <w:vAlign w:val="center"/>
          </w:tcPr>
          <w:p>
            <w:pPr>
              <w:spacing w:after="0" w:line="216" w:lineRule="auto"/>
            </w:pPr>
            <w:r>
              <w:rPr>
                <w:sz w:val="13"/>
              </w:rPr>
            </w:r>
            <w:r>
              <w:rPr>
                <w:rFonts w:ascii="Aptos" w:hAnsi="Aptos"/>
                <w:b w:val="0"/>
                <w:sz w:val="13"/>
              </w:rPr>
              <w:t>Discovery status</w:t>
            </w:r>
          </w:p>
        </w:tc>
        <w:tc>
          <w:tcPr>
            <w:tcW w:type="dxa" w:w="6984"/>
            <w:vAlign w:val="center"/>
          </w:tcPr>
          <w:p>
            <w:pPr>
              <w:spacing w:after="0" w:line="216" w:lineRule="auto"/>
            </w:pPr>
            <w:r>
              <w:rPr>
                <w:sz w:val="13"/>
              </w:rPr>
            </w:r>
            <w:r>
              <w:rPr>
                <w:rFonts w:ascii="Aptos" w:hAnsi="Aptos"/>
                <w:b w:val="0"/>
                <w:sz w:val="13"/>
              </w:rPr>
              <w:t>Candidate future system capability. No Jira stories or future requirement IDs yet.</w:t>
            </w:r>
          </w:p>
        </w:tc>
      </w:tr>
      <w:tr>
        <w:tc>
          <w:tcPr>
            <w:tcW w:type="dxa" w:w="2880"/>
            <w:vAlign w:val="center"/>
          </w:tcPr>
          <w:p>
            <w:pPr>
              <w:spacing w:after="0" w:line="216" w:lineRule="auto"/>
            </w:pPr>
            <w:r>
              <w:rPr>
                <w:sz w:val="13"/>
              </w:rPr>
            </w:r>
            <w:r>
              <w:rPr>
                <w:rFonts w:ascii="Aptos" w:hAnsi="Aptos"/>
                <w:b w:val="0"/>
                <w:sz w:val="13"/>
              </w:rPr>
              <w:t>Primary boundary</w:t>
            </w:r>
          </w:p>
        </w:tc>
        <w:tc>
          <w:tcPr>
            <w:tcW w:type="dxa" w:w="6984"/>
            <w:vAlign w:val="center"/>
          </w:tcPr>
          <w:p>
            <w:pPr>
              <w:spacing w:after="0" w:line="216" w:lineRule="auto"/>
            </w:pPr>
            <w:r>
              <w:rPr>
                <w:sz w:val="13"/>
              </w:rPr>
            </w:r>
            <w:r>
              <w:rPr>
                <w:rFonts w:ascii="Aptos" w:hAnsi="Aptos"/>
                <w:b w:val="0"/>
                <w:sz w:val="13"/>
              </w:rPr>
              <w:t>F06 addresses broader platform scalability and global readiness. It does not replace the functional capabilities owned by F01 to F05.</w:t>
            </w:r>
          </w:p>
        </w:tc>
      </w:tr>
      <w:tr>
        <w:tc>
          <w:tcPr>
            <w:tcW w:type="dxa" w:w="2880"/>
            <w:vAlign w:val="center"/>
          </w:tcPr>
          <w:p>
            <w:pPr>
              <w:spacing w:after="0" w:line="216" w:lineRule="auto"/>
            </w:pPr>
            <w:r>
              <w:rPr>
                <w:sz w:val="13"/>
              </w:rPr>
            </w:r>
            <w:r>
              <w:rPr>
                <w:rFonts w:ascii="Aptos" w:hAnsi="Aptos"/>
                <w:b w:val="0"/>
                <w:sz w:val="13"/>
              </w:rPr>
              <w:t>Key evidence requirement</w:t>
            </w:r>
          </w:p>
        </w:tc>
        <w:tc>
          <w:tcPr>
            <w:tcW w:type="dxa" w:w="6984"/>
            <w:vAlign w:val="center"/>
          </w:tcPr>
          <w:p>
            <w:pPr>
              <w:spacing w:after="0" w:line="216" w:lineRule="auto"/>
            </w:pPr>
            <w:r>
              <w:rPr>
                <w:sz w:val="13"/>
              </w:rPr>
            </w:r>
            <w:r>
              <w:rPr>
                <w:rFonts w:ascii="Aptos" w:hAnsi="Aptos"/>
                <w:b w:val="0"/>
                <w:sz w:val="13"/>
              </w:rPr>
              <w:t>Evidence and business case are required before any scale commitment.</w:t>
            </w:r>
          </w:p>
        </w:tc>
      </w:tr>
      <w:tr>
        <w:tc>
          <w:tcPr>
            <w:tcW w:type="dxa" w:w="2880"/>
            <w:vAlign w:val="center"/>
          </w:tcPr>
          <w:p>
            <w:pPr>
              <w:spacing w:after="0" w:line="216" w:lineRule="auto"/>
            </w:pPr>
            <w:r>
              <w:rPr>
                <w:sz w:val="13"/>
              </w:rPr>
            </w:r>
            <w:r>
              <w:rPr>
                <w:rFonts w:ascii="Aptos" w:hAnsi="Aptos"/>
                <w:b w:val="0"/>
                <w:sz w:val="13"/>
              </w:rPr>
              <w:t>Primary governance question</w:t>
            </w:r>
          </w:p>
        </w:tc>
        <w:tc>
          <w:tcPr>
            <w:tcW w:type="dxa" w:w="6984"/>
            <w:vAlign w:val="center"/>
          </w:tcPr>
          <w:p>
            <w:pPr>
              <w:spacing w:after="0" w:line="216" w:lineRule="auto"/>
            </w:pPr>
            <w:r>
              <w:rPr>
                <w:sz w:val="13"/>
              </w:rPr>
            </w:r>
            <w:r>
              <w:rPr>
                <w:rFonts w:ascii="Aptos" w:hAnsi="Aptos"/>
                <w:b w:val="0"/>
                <w:sz w:val="13"/>
              </w:rPr>
              <w:t>What scale assumptions, system capacity, operating readiness, geographic reach and business case must be proven before EcoGrow expands?</w:t>
            </w:r>
          </w:p>
        </w:tc>
      </w:tr>
    </w:tbl>
    <w:p>
      <w:pPr>
        <w:pStyle w:val="Heading1"/>
        <w:spacing w:before="60" w:after="20" w:line="228" w:lineRule="auto"/>
      </w:pPr>
      <w:r>
        <w:t>2. Opportunity and User Need</w:t>
      </w:r>
    </w:p>
    <w:p>
      <w:pPr>
        <w:spacing w:after="30" w:line="228" w:lineRule="auto"/>
      </w:pPr>
      <w:r>
        <w:t>Opportunity. The revalidated future-state scope identifies Platform Scalability and Global Readiness as the broader system capability for wider adoption.</w:t>
      </w:r>
    </w:p>
    <w:p>
      <w:pPr>
        <w:spacing w:after="30" w:line="228" w:lineRule="auto"/>
      </w:pPr>
      <w:r>
        <w:t>User and business need hypothesis. As EcoGrow expands across more users, geographies and future capabilities, the platform may need stronger technical capacity, operational support, content readiness and cost control.</w:t>
      </w:r>
    </w:p>
    <w:p>
      <w:pPr>
        <w:spacing w:after="30" w:line="228" w:lineRule="auto"/>
      </w:pPr>
      <w:r>
        <w:t>Business value hypothesis. A scalable and globally ready platform could support wider adoption without assuming that scale itself creates value. These remain hypotheses until evidence and usage scenarios are validated.</w:t>
      </w:r>
    </w:p>
    <w:p>
      <w:pPr>
        <w:pStyle w:val="Heading1"/>
        <w:spacing w:before="60" w:after="20" w:line="228" w:lineRule="auto"/>
      </w:pPr>
      <w:r>
        <w:t>3. F06 Capability Boundary</w:t>
      </w:r>
    </w:p>
    <w:tbl>
      <w:tblPr>
        <w:tblStyle w:val="TableGrid"/>
        <w:tblW w:type="auto" w:w="0"/>
        <w:jc w:val="center"/>
        <w:tblLook w:firstColumn="1" w:firstRow="1" w:lastColumn="0" w:lastRow="0" w:noHBand="0" w:noVBand="1" w:val="04A0"/>
      </w:tblPr>
      <w:tblGrid>
        <w:gridCol w:w="3485"/>
        <w:gridCol w:w="3485"/>
        <w:gridCol w:w="3485"/>
      </w:tblGrid>
      <w:tr>
        <w:tc>
          <w:tcPr>
            <w:tcW w:type="dxa" w:w="2232"/>
            <w:shd w:fill="D9EAF7"/>
            <w:vAlign w:val="center"/>
          </w:tcPr>
          <w:p>
            <w:pPr>
              <w:spacing w:after="0" w:line="216" w:lineRule="auto"/>
            </w:pPr>
            <w:r>
              <w:rPr>
                <w:sz w:val="13"/>
              </w:rPr>
            </w:r>
            <w:r>
              <w:rPr>
                <w:rFonts w:ascii="Aptos" w:hAnsi="Aptos"/>
                <w:b/>
                <w:sz w:val="13"/>
              </w:rPr>
              <w:t>Feature candidate</w:t>
            </w:r>
          </w:p>
        </w:tc>
        <w:tc>
          <w:tcPr>
            <w:tcW w:type="dxa" w:w="1656"/>
            <w:shd w:fill="D9EAF7"/>
            <w:vAlign w:val="center"/>
          </w:tcPr>
          <w:p>
            <w:pPr>
              <w:spacing w:after="0" w:line="216" w:lineRule="auto"/>
            </w:pPr>
            <w:r>
              <w:rPr>
                <w:sz w:val="13"/>
              </w:rPr>
            </w:r>
            <w:r>
              <w:rPr>
                <w:rFonts w:ascii="Aptos" w:hAnsi="Aptos"/>
                <w:b/>
                <w:sz w:val="13"/>
              </w:rPr>
              <w:t>Discovery position</w:t>
            </w:r>
          </w:p>
        </w:tc>
        <w:tc>
          <w:tcPr>
            <w:tcW w:type="dxa" w:w="5976"/>
            <w:shd w:fill="D9EAF7"/>
            <w:vAlign w:val="center"/>
          </w:tcPr>
          <w:p>
            <w:pPr>
              <w:spacing w:after="0" w:line="216" w:lineRule="auto"/>
            </w:pPr>
            <w:r>
              <w:rPr>
                <w:sz w:val="13"/>
              </w:rPr>
            </w:r>
            <w:r>
              <w:rPr>
                <w:rFonts w:ascii="Aptos" w:hAnsi="Aptos"/>
                <w:b/>
                <w:sz w:val="13"/>
              </w:rPr>
              <w:t>Boundary</w:t>
            </w:r>
          </w:p>
        </w:tc>
      </w:tr>
      <w:tr>
        <w:tc>
          <w:tcPr>
            <w:tcW w:type="dxa" w:w="2232"/>
            <w:vAlign w:val="center"/>
          </w:tcPr>
          <w:p>
            <w:pPr>
              <w:spacing w:after="0" w:line="216" w:lineRule="auto"/>
            </w:pPr>
            <w:r>
              <w:rPr>
                <w:sz w:val="13"/>
              </w:rPr>
            </w:r>
            <w:r>
              <w:rPr>
                <w:rFonts w:ascii="Aptos" w:hAnsi="Aptos"/>
                <w:b w:val="0"/>
                <w:sz w:val="13"/>
              </w:rPr>
              <w:t>F06.1 Technical Scalability</w:t>
            </w:r>
          </w:p>
        </w:tc>
        <w:tc>
          <w:tcPr>
            <w:tcW w:type="dxa" w:w="1656"/>
            <w:vAlign w:val="center"/>
          </w:tcPr>
          <w:p>
            <w:pPr>
              <w:spacing w:after="0" w:line="216" w:lineRule="auto"/>
            </w:pPr>
            <w:r>
              <w:rPr>
                <w:sz w:val="13"/>
              </w:rPr>
            </w:r>
            <w:r>
              <w:rPr>
                <w:rFonts w:ascii="Aptos" w:hAnsi="Aptos"/>
                <w:b w:val="0"/>
                <w:sz w:val="13"/>
              </w:rPr>
              <w:t>Candidate</w:t>
            </w:r>
          </w:p>
        </w:tc>
        <w:tc>
          <w:tcPr>
            <w:tcW w:type="dxa" w:w="5976"/>
            <w:vAlign w:val="center"/>
          </w:tcPr>
          <w:p>
            <w:pPr>
              <w:spacing w:after="0" w:line="216" w:lineRule="auto"/>
            </w:pPr>
            <w:r>
              <w:rPr>
                <w:sz w:val="13"/>
              </w:rPr>
            </w:r>
            <w:r>
              <w:rPr>
                <w:rFonts w:ascii="Aptos" w:hAnsi="Aptos"/>
                <w:b w:val="0"/>
                <w:sz w:val="13"/>
              </w:rPr>
              <w:t>Explore capacity, performance, integration and platform constraints required for wider adoption. Do not assume a final target architecture or traffic volume.</w:t>
            </w:r>
          </w:p>
        </w:tc>
      </w:tr>
      <w:tr>
        <w:tc>
          <w:tcPr>
            <w:tcW w:type="dxa" w:w="2232"/>
            <w:vAlign w:val="center"/>
          </w:tcPr>
          <w:p>
            <w:pPr>
              <w:spacing w:after="0" w:line="216" w:lineRule="auto"/>
            </w:pPr>
            <w:r>
              <w:rPr>
                <w:sz w:val="13"/>
              </w:rPr>
            </w:r>
            <w:r>
              <w:rPr>
                <w:rFonts w:ascii="Aptos" w:hAnsi="Aptos"/>
                <w:b w:val="0"/>
                <w:sz w:val="13"/>
              </w:rPr>
              <w:t>F06.2 Operational Readiness</w:t>
            </w:r>
          </w:p>
        </w:tc>
        <w:tc>
          <w:tcPr>
            <w:tcW w:type="dxa" w:w="1656"/>
            <w:vAlign w:val="center"/>
          </w:tcPr>
          <w:p>
            <w:pPr>
              <w:spacing w:after="0" w:line="216" w:lineRule="auto"/>
            </w:pPr>
            <w:r>
              <w:rPr>
                <w:sz w:val="13"/>
              </w:rPr>
            </w:r>
            <w:r>
              <w:rPr>
                <w:rFonts w:ascii="Aptos" w:hAnsi="Aptos"/>
                <w:b w:val="0"/>
                <w:sz w:val="13"/>
              </w:rPr>
              <w:t>Candidate</w:t>
            </w:r>
          </w:p>
        </w:tc>
        <w:tc>
          <w:tcPr>
            <w:tcW w:type="dxa" w:w="5976"/>
            <w:vAlign w:val="center"/>
          </w:tcPr>
          <w:p>
            <w:pPr>
              <w:spacing w:after="0" w:line="216" w:lineRule="auto"/>
            </w:pPr>
            <w:r>
              <w:rPr>
                <w:sz w:val="13"/>
              </w:rPr>
            </w:r>
            <w:r>
              <w:rPr>
                <w:rFonts w:ascii="Aptos" w:hAnsi="Aptos"/>
                <w:b w:val="0"/>
                <w:sz w:val="13"/>
              </w:rPr>
              <w:t>Explore support, monitoring, incident response, service ownership and operating-model needs. Do not assume an operating model is approved.</w:t>
            </w:r>
          </w:p>
        </w:tc>
      </w:tr>
      <w:tr>
        <w:tc>
          <w:tcPr>
            <w:tcW w:type="dxa" w:w="2232"/>
            <w:vAlign w:val="center"/>
          </w:tcPr>
          <w:p>
            <w:pPr>
              <w:spacing w:after="0" w:line="216" w:lineRule="auto"/>
            </w:pPr>
            <w:r>
              <w:rPr>
                <w:sz w:val="13"/>
              </w:rPr>
            </w:r>
            <w:r>
              <w:rPr>
                <w:rFonts w:ascii="Aptos" w:hAnsi="Aptos"/>
                <w:b w:val="0"/>
                <w:sz w:val="13"/>
              </w:rPr>
              <w:t>F06.3 Geographic and Content Readiness</w:t>
            </w:r>
          </w:p>
        </w:tc>
        <w:tc>
          <w:tcPr>
            <w:tcW w:type="dxa" w:w="1656"/>
            <w:vAlign w:val="center"/>
          </w:tcPr>
          <w:p>
            <w:pPr>
              <w:spacing w:after="0" w:line="216" w:lineRule="auto"/>
            </w:pPr>
            <w:r>
              <w:rPr>
                <w:sz w:val="13"/>
              </w:rPr>
            </w:r>
            <w:r>
              <w:rPr>
                <w:rFonts w:ascii="Aptos" w:hAnsi="Aptos"/>
                <w:b w:val="0"/>
                <w:sz w:val="13"/>
              </w:rPr>
              <w:t>Candidate</w:t>
            </w:r>
          </w:p>
        </w:tc>
        <w:tc>
          <w:tcPr>
            <w:tcW w:type="dxa" w:w="5976"/>
            <w:vAlign w:val="center"/>
          </w:tcPr>
          <w:p>
            <w:pPr>
              <w:spacing w:after="0" w:line="216" w:lineRule="auto"/>
            </w:pPr>
            <w:r>
              <w:rPr>
                <w:sz w:val="13"/>
              </w:rPr>
            </w:r>
            <w:r>
              <w:rPr>
                <w:rFonts w:ascii="Aptos" w:hAnsi="Aptos"/>
                <w:b w:val="0"/>
                <w:sz w:val="13"/>
              </w:rPr>
              <w:t>Explore geographic expansion dependencies, localisation support, content operations and regional readiness. F04 remains the plant-knowledge and localisation capability.</w:t>
            </w:r>
          </w:p>
        </w:tc>
      </w:tr>
      <w:tr>
        <w:tc>
          <w:tcPr>
            <w:tcW w:type="dxa" w:w="2232"/>
            <w:vAlign w:val="center"/>
          </w:tcPr>
          <w:p>
            <w:pPr>
              <w:spacing w:after="0" w:line="216" w:lineRule="auto"/>
            </w:pPr>
            <w:r>
              <w:rPr>
                <w:sz w:val="13"/>
              </w:rPr>
            </w:r>
            <w:r>
              <w:rPr>
                <w:rFonts w:ascii="Aptos" w:hAnsi="Aptos"/>
                <w:b w:val="0"/>
                <w:sz w:val="13"/>
              </w:rPr>
              <w:t>F06.4 Cost and Business Case</w:t>
            </w:r>
          </w:p>
        </w:tc>
        <w:tc>
          <w:tcPr>
            <w:tcW w:type="dxa" w:w="1656"/>
            <w:vAlign w:val="center"/>
          </w:tcPr>
          <w:p>
            <w:pPr>
              <w:spacing w:after="0" w:line="216" w:lineRule="auto"/>
            </w:pPr>
            <w:r>
              <w:rPr>
                <w:sz w:val="13"/>
              </w:rPr>
            </w:r>
            <w:r>
              <w:rPr>
                <w:rFonts w:ascii="Aptos" w:hAnsi="Aptos"/>
                <w:b w:val="0"/>
                <w:sz w:val="13"/>
              </w:rPr>
              <w:t>Candidate</w:t>
            </w:r>
          </w:p>
        </w:tc>
        <w:tc>
          <w:tcPr>
            <w:tcW w:type="dxa" w:w="5976"/>
            <w:vAlign w:val="center"/>
          </w:tcPr>
          <w:p>
            <w:pPr>
              <w:spacing w:after="0" w:line="216" w:lineRule="auto"/>
            </w:pPr>
            <w:r>
              <w:rPr>
                <w:sz w:val="13"/>
              </w:rPr>
            </w:r>
            <w:r>
              <w:rPr>
                <w:rFonts w:ascii="Aptos" w:hAnsi="Aptos"/>
                <w:b w:val="0"/>
                <w:sz w:val="13"/>
              </w:rPr>
              <w:t>Explore usage scenarios, cost drivers, investment assumptions and evidence needed for a scale decision. Do not assert ROI or financial benefit without evidence.</w:t>
            </w:r>
          </w:p>
        </w:tc>
      </w:tr>
    </w:tbl>
    <w:p>
      <w:pPr>
        <w:spacing w:after="30" w:line="228" w:lineRule="auto"/>
      </w:pPr>
      <w:r>
        <w:t>Explicit exclusions. EPIC-F01 plant-specific care and watering remains separate. EPIC-F02 weather-aware context remains separate. EPIC-F03 plant-health identification and treatment remains separate. EPIC-F04 global plant intelligence remains the content and regional-knowledge capability. EPIC-F05 personalisation remains separate. F06 does not itself create a new user-facing feature or global market commitment.</w:t>
      </w:r>
    </w:p>
    <w:p>
      <w:pPr>
        <w:pStyle w:val="Heading1"/>
        <w:spacing w:before="60" w:after="20" w:line="228" w:lineRule="auto"/>
      </w:pPr>
      <w:r>
        <w:t>4. Discovery Hypotheses and Open Questions</w:t>
      </w:r>
    </w:p>
    <w:tbl>
      <w:tblPr>
        <w:tblStyle w:val="TableGrid"/>
        <w:tblW w:type="auto" w:w="0"/>
        <w:jc w:val="center"/>
        <w:tblLook w:firstColumn="1" w:firstRow="1" w:lastColumn="0" w:lastRow="0" w:noHBand="0" w:noVBand="1" w:val="04A0"/>
      </w:tblPr>
      <w:tblGrid>
        <w:gridCol w:w="3485"/>
        <w:gridCol w:w="3485"/>
        <w:gridCol w:w="3485"/>
      </w:tblGrid>
      <w:tr>
        <w:tc>
          <w:tcPr>
            <w:tcW w:type="dxa" w:w="1800"/>
            <w:shd w:fill="D9EAF7"/>
            <w:vAlign w:val="center"/>
          </w:tcPr>
          <w:p>
            <w:pPr>
              <w:spacing w:after="0" w:line="216" w:lineRule="auto"/>
            </w:pPr>
            <w:r>
              <w:rPr>
                <w:sz w:val="13"/>
              </w:rPr>
            </w:r>
            <w:r>
              <w:rPr>
                <w:rFonts w:ascii="Aptos" w:hAnsi="Aptos"/>
                <w:b/>
                <w:sz w:val="13"/>
              </w:rPr>
              <w:t>Area</w:t>
            </w:r>
          </w:p>
        </w:tc>
        <w:tc>
          <w:tcPr>
            <w:tcW w:type="dxa" w:w="6912"/>
            <w:shd w:fill="D9EAF7"/>
            <w:vAlign w:val="center"/>
          </w:tcPr>
          <w:p>
            <w:pPr>
              <w:spacing w:after="0" w:line="216" w:lineRule="auto"/>
            </w:pPr>
            <w:r>
              <w:rPr>
                <w:sz w:val="13"/>
              </w:rPr>
            </w:r>
            <w:r>
              <w:rPr>
                <w:rFonts w:ascii="Aptos" w:hAnsi="Aptos"/>
                <w:b/>
                <w:sz w:val="13"/>
              </w:rPr>
              <w:t>Question to resolve</w:t>
            </w:r>
          </w:p>
        </w:tc>
        <w:tc>
          <w:tcPr>
            <w:tcW w:type="dxa" w:w="1440"/>
            <w:shd w:fill="D9EAF7"/>
            <w:vAlign w:val="center"/>
          </w:tcPr>
          <w:p>
            <w:pPr>
              <w:spacing w:after="0" w:line="216" w:lineRule="auto"/>
            </w:pPr>
            <w:r>
              <w:rPr>
                <w:sz w:val="13"/>
              </w:rPr>
            </w:r>
            <w:r>
              <w:rPr>
                <w:rFonts w:ascii="Aptos" w:hAnsi="Aptos"/>
                <w:b/>
                <w:sz w:val="13"/>
              </w:rPr>
              <w:t>Status</w:t>
            </w:r>
          </w:p>
        </w:tc>
      </w:tr>
      <w:tr>
        <w:tc>
          <w:tcPr>
            <w:tcW w:type="dxa" w:w="1800"/>
            <w:vAlign w:val="center"/>
          </w:tcPr>
          <w:p>
            <w:pPr>
              <w:spacing w:after="0" w:line="216" w:lineRule="auto"/>
            </w:pPr>
            <w:r>
              <w:rPr>
                <w:sz w:val="13"/>
              </w:rPr>
            </w:r>
            <w:r>
              <w:rPr>
                <w:rFonts w:ascii="Aptos" w:hAnsi="Aptos"/>
                <w:b w:val="0"/>
                <w:sz w:val="13"/>
              </w:rPr>
              <w:t>Adoption scale</w:t>
            </w:r>
          </w:p>
        </w:tc>
        <w:tc>
          <w:tcPr>
            <w:tcW w:type="dxa" w:w="6912"/>
            <w:vAlign w:val="center"/>
          </w:tcPr>
          <w:p>
            <w:pPr>
              <w:spacing w:after="0" w:line="216" w:lineRule="auto"/>
            </w:pPr>
            <w:r>
              <w:rPr>
                <w:sz w:val="13"/>
              </w:rPr>
            </w:r>
            <w:r>
              <w:rPr>
                <w:rFonts w:ascii="Aptos" w:hAnsi="Aptos"/>
                <w:b w:val="0"/>
                <w:sz w:val="13"/>
              </w:rPr>
              <w:t>What future adoption scenarios are credible enough to test?</w:t>
            </w:r>
          </w:p>
        </w:tc>
        <w:tc>
          <w:tcPr>
            <w:tcW w:type="dxa" w:w="1440"/>
            <w:vAlign w:val="center"/>
          </w:tcPr>
          <w:p>
            <w:pPr>
              <w:spacing w:after="0" w:line="216" w:lineRule="auto"/>
            </w:pPr>
            <w:r>
              <w:rPr>
                <w:sz w:val="13"/>
              </w:rPr>
            </w:r>
            <w:r>
              <w:rPr>
                <w:rFonts w:ascii="Aptos" w:hAnsi="Aptos"/>
                <w:b w:val="0"/>
                <w:sz w:val="13"/>
              </w:rPr>
              <w:t>Open question</w:t>
            </w:r>
          </w:p>
        </w:tc>
      </w:tr>
      <w:tr>
        <w:tc>
          <w:tcPr>
            <w:tcW w:type="dxa" w:w="1800"/>
            <w:vAlign w:val="center"/>
          </w:tcPr>
          <w:p>
            <w:pPr>
              <w:spacing w:after="0" w:line="216" w:lineRule="auto"/>
            </w:pPr>
            <w:r>
              <w:rPr>
                <w:sz w:val="13"/>
              </w:rPr>
            </w:r>
            <w:r>
              <w:rPr>
                <w:rFonts w:ascii="Aptos" w:hAnsi="Aptos"/>
                <w:b w:val="0"/>
                <w:sz w:val="13"/>
              </w:rPr>
              <w:t>Technical capacity</w:t>
            </w:r>
          </w:p>
        </w:tc>
        <w:tc>
          <w:tcPr>
            <w:tcW w:type="dxa" w:w="6912"/>
            <w:vAlign w:val="center"/>
          </w:tcPr>
          <w:p>
            <w:pPr>
              <w:spacing w:after="0" w:line="216" w:lineRule="auto"/>
            </w:pPr>
            <w:r>
              <w:rPr>
                <w:sz w:val="13"/>
              </w:rPr>
            </w:r>
            <w:r>
              <w:rPr>
                <w:rFonts w:ascii="Aptos" w:hAnsi="Aptos"/>
                <w:b w:val="0"/>
                <w:sz w:val="13"/>
              </w:rPr>
              <w:t>What traffic, data, API and integration loads must the platform support?</w:t>
            </w:r>
          </w:p>
        </w:tc>
        <w:tc>
          <w:tcPr>
            <w:tcW w:type="dxa" w:w="1440"/>
            <w:vAlign w:val="center"/>
          </w:tcPr>
          <w:p>
            <w:pPr>
              <w:spacing w:after="0" w:line="216" w:lineRule="auto"/>
            </w:pPr>
            <w:r>
              <w:rPr>
                <w:sz w:val="13"/>
              </w:rPr>
            </w:r>
            <w:r>
              <w:rPr>
                <w:rFonts w:ascii="Aptos" w:hAnsi="Aptos"/>
                <w:b w:val="0"/>
                <w:sz w:val="13"/>
              </w:rPr>
              <w:t>Open question</w:t>
            </w:r>
          </w:p>
        </w:tc>
      </w:tr>
      <w:tr>
        <w:tc>
          <w:tcPr>
            <w:tcW w:type="dxa" w:w="1800"/>
            <w:vAlign w:val="center"/>
          </w:tcPr>
          <w:p>
            <w:pPr>
              <w:spacing w:after="0" w:line="216" w:lineRule="auto"/>
            </w:pPr>
            <w:r>
              <w:rPr>
                <w:sz w:val="13"/>
              </w:rPr>
            </w:r>
            <w:r>
              <w:rPr>
                <w:rFonts w:ascii="Aptos" w:hAnsi="Aptos"/>
                <w:b w:val="0"/>
                <w:sz w:val="13"/>
              </w:rPr>
              <w:t>Performance and reliability</w:t>
            </w:r>
          </w:p>
        </w:tc>
        <w:tc>
          <w:tcPr>
            <w:tcW w:type="dxa" w:w="6912"/>
            <w:vAlign w:val="center"/>
          </w:tcPr>
          <w:p>
            <w:pPr>
              <w:spacing w:after="0" w:line="216" w:lineRule="auto"/>
            </w:pPr>
            <w:r>
              <w:rPr>
                <w:sz w:val="13"/>
              </w:rPr>
            </w:r>
            <w:r>
              <w:rPr>
                <w:rFonts w:ascii="Aptos" w:hAnsi="Aptos"/>
                <w:b w:val="0"/>
                <w:sz w:val="13"/>
              </w:rPr>
              <w:t>Which service expectations and fallback behaviours matter at wider scale?</w:t>
            </w:r>
          </w:p>
        </w:tc>
        <w:tc>
          <w:tcPr>
            <w:tcW w:type="dxa" w:w="1440"/>
            <w:vAlign w:val="center"/>
          </w:tcPr>
          <w:p>
            <w:pPr>
              <w:spacing w:after="0" w:line="216" w:lineRule="auto"/>
            </w:pPr>
            <w:r>
              <w:rPr>
                <w:sz w:val="13"/>
              </w:rPr>
            </w:r>
            <w:r>
              <w:rPr>
                <w:rFonts w:ascii="Aptos" w:hAnsi="Aptos"/>
                <w:b w:val="0"/>
                <w:sz w:val="13"/>
              </w:rPr>
              <w:t>Open question</w:t>
            </w:r>
          </w:p>
        </w:tc>
      </w:tr>
      <w:tr>
        <w:tc>
          <w:tcPr>
            <w:tcW w:type="dxa" w:w="1800"/>
            <w:vAlign w:val="center"/>
          </w:tcPr>
          <w:p>
            <w:pPr>
              <w:spacing w:after="0" w:line="216" w:lineRule="auto"/>
            </w:pPr>
            <w:r>
              <w:rPr>
                <w:sz w:val="13"/>
              </w:rPr>
            </w:r>
            <w:r>
              <w:rPr>
                <w:rFonts w:ascii="Aptos" w:hAnsi="Aptos"/>
                <w:b w:val="0"/>
                <w:sz w:val="13"/>
              </w:rPr>
              <w:t>Operational model</w:t>
            </w:r>
          </w:p>
        </w:tc>
        <w:tc>
          <w:tcPr>
            <w:tcW w:type="dxa" w:w="6912"/>
            <w:vAlign w:val="center"/>
          </w:tcPr>
          <w:p>
            <w:pPr>
              <w:spacing w:after="0" w:line="216" w:lineRule="auto"/>
            </w:pPr>
            <w:r>
              <w:rPr>
                <w:sz w:val="13"/>
              </w:rPr>
            </w:r>
            <w:r>
              <w:rPr>
                <w:rFonts w:ascii="Aptos" w:hAnsi="Aptos"/>
                <w:b w:val="0"/>
                <w:sz w:val="13"/>
              </w:rPr>
              <w:t>Who owns support, monitoring, incident response and service continuity?</w:t>
            </w:r>
          </w:p>
        </w:tc>
        <w:tc>
          <w:tcPr>
            <w:tcW w:type="dxa" w:w="1440"/>
            <w:vAlign w:val="center"/>
          </w:tcPr>
          <w:p>
            <w:pPr>
              <w:spacing w:after="0" w:line="216" w:lineRule="auto"/>
            </w:pPr>
            <w:r>
              <w:rPr>
                <w:sz w:val="13"/>
              </w:rPr>
            </w:r>
            <w:r>
              <w:rPr>
                <w:rFonts w:ascii="Aptos" w:hAnsi="Aptos"/>
                <w:b w:val="0"/>
                <w:sz w:val="13"/>
              </w:rPr>
              <w:t>Open question</w:t>
            </w:r>
          </w:p>
        </w:tc>
      </w:tr>
      <w:tr>
        <w:tc>
          <w:tcPr>
            <w:tcW w:type="dxa" w:w="1800"/>
            <w:vAlign w:val="center"/>
          </w:tcPr>
          <w:p>
            <w:pPr>
              <w:spacing w:after="0" w:line="216" w:lineRule="auto"/>
            </w:pPr>
            <w:r>
              <w:rPr>
                <w:sz w:val="13"/>
              </w:rPr>
            </w:r>
            <w:r>
              <w:rPr>
                <w:rFonts w:ascii="Aptos" w:hAnsi="Aptos"/>
                <w:b w:val="0"/>
                <w:sz w:val="13"/>
              </w:rPr>
              <w:t>Geographic readiness</w:t>
            </w:r>
          </w:p>
        </w:tc>
        <w:tc>
          <w:tcPr>
            <w:tcW w:type="dxa" w:w="6912"/>
            <w:vAlign w:val="center"/>
          </w:tcPr>
          <w:p>
            <w:pPr>
              <w:spacing w:after="0" w:line="216" w:lineRule="auto"/>
            </w:pPr>
            <w:r>
              <w:rPr>
                <w:sz w:val="13"/>
              </w:rPr>
            </w:r>
            <w:r>
              <w:rPr>
                <w:rFonts w:ascii="Aptos" w:hAnsi="Aptos"/>
                <w:b w:val="0"/>
                <w:sz w:val="13"/>
              </w:rPr>
              <w:t>Which countries, regions, time zones or infrastructure constraints matter first?</w:t>
            </w:r>
          </w:p>
        </w:tc>
        <w:tc>
          <w:tcPr>
            <w:tcW w:type="dxa" w:w="1440"/>
            <w:vAlign w:val="center"/>
          </w:tcPr>
          <w:p>
            <w:pPr>
              <w:spacing w:after="0" w:line="216" w:lineRule="auto"/>
            </w:pPr>
            <w:r>
              <w:rPr>
                <w:sz w:val="13"/>
              </w:rPr>
            </w:r>
            <w:r>
              <w:rPr>
                <w:rFonts w:ascii="Aptos" w:hAnsi="Aptos"/>
                <w:b w:val="0"/>
                <w:sz w:val="13"/>
              </w:rPr>
              <w:t>Open question</w:t>
            </w:r>
          </w:p>
        </w:tc>
      </w:tr>
      <w:tr>
        <w:tc>
          <w:tcPr>
            <w:tcW w:type="dxa" w:w="1800"/>
            <w:vAlign w:val="center"/>
          </w:tcPr>
          <w:p>
            <w:pPr>
              <w:spacing w:after="0" w:line="216" w:lineRule="auto"/>
            </w:pPr>
            <w:r>
              <w:rPr>
                <w:sz w:val="13"/>
              </w:rPr>
            </w:r>
            <w:r>
              <w:rPr>
                <w:rFonts w:ascii="Aptos" w:hAnsi="Aptos"/>
                <w:b w:val="0"/>
                <w:sz w:val="13"/>
              </w:rPr>
              <w:t>Content readiness</w:t>
            </w:r>
          </w:p>
        </w:tc>
        <w:tc>
          <w:tcPr>
            <w:tcW w:type="dxa" w:w="6912"/>
            <w:vAlign w:val="center"/>
          </w:tcPr>
          <w:p>
            <w:pPr>
              <w:spacing w:after="0" w:line="216" w:lineRule="auto"/>
            </w:pPr>
            <w:r>
              <w:rPr>
                <w:sz w:val="13"/>
              </w:rPr>
            </w:r>
            <w:r>
              <w:rPr>
                <w:rFonts w:ascii="Aptos" w:hAnsi="Aptos"/>
                <w:b w:val="0"/>
                <w:sz w:val="13"/>
              </w:rPr>
              <w:t>What content operations, localisation and review capacity are needed for wider adoption?</w:t>
            </w:r>
          </w:p>
        </w:tc>
        <w:tc>
          <w:tcPr>
            <w:tcW w:type="dxa" w:w="1440"/>
            <w:vAlign w:val="center"/>
          </w:tcPr>
          <w:p>
            <w:pPr>
              <w:spacing w:after="0" w:line="216" w:lineRule="auto"/>
            </w:pPr>
            <w:r>
              <w:rPr>
                <w:sz w:val="13"/>
              </w:rPr>
            </w:r>
            <w:r>
              <w:rPr>
                <w:rFonts w:ascii="Aptos" w:hAnsi="Aptos"/>
                <w:b w:val="0"/>
                <w:sz w:val="13"/>
              </w:rPr>
              <w:t>Open question</w:t>
            </w:r>
          </w:p>
        </w:tc>
      </w:tr>
      <w:tr>
        <w:tc>
          <w:tcPr>
            <w:tcW w:type="dxa" w:w="1800"/>
            <w:vAlign w:val="center"/>
          </w:tcPr>
          <w:p>
            <w:pPr>
              <w:spacing w:after="0" w:line="216" w:lineRule="auto"/>
            </w:pPr>
            <w:r>
              <w:rPr>
                <w:sz w:val="13"/>
              </w:rPr>
            </w:r>
            <w:r>
              <w:rPr>
                <w:rFonts w:ascii="Aptos" w:hAnsi="Aptos"/>
                <w:b w:val="0"/>
                <w:sz w:val="13"/>
              </w:rPr>
              <w:t>Cost drivers</w:t>
            </w:r>
          </w:p>
        </w:tc>
        <w:tc>
          <w:tcPr>
            <w:tcW w:type="dxa" w:w="6912"/>
            <w:vAlign w:val="center"/>
          </w:tcPr>
          <w:p>
            <w:pPr>
              <w:spacing w:after="0" w:line="216" w:lineRule="auto"/>
            </w:pPr>
            <w:r>
              <w:rPr>
                <w:sz w:val="13"/>
              </w:rPr>
            </w:r>
            <w:r>
              <w:rPr>
                <w:rFonts w:ascii="Aptos" w:hAnsi="Aptos"/>
                <w:b w:val="0"/>
                <w:sz w:val="13"/>
              </w:rPr>
              <w:t>Which usage, infrastructure, API, storage and support costs materially change at scale?</w:t>
            </w:r>
          </w:p>
        </w:tc>
        <w:tc>
          <w:tcPr>
            <w:tcW w:type="dxa" w:w="1440"/>
            <w:vAlign w:val="center"/>
          </w:tcPr>
          <w:p>
            <w:pPr>
              <w:spacing w:after="0" w:line="216" w:lineRule="auto"/>
            </w:pPr>
            <w:r>
              <w:rPr>
                <w:sz w:val="13"/>
              </w:rPr>
            </w:r>
            <w:r>
              <w:rPr>
                <w:rFonts w:ascii="Aptos" w:hAnsi="Aptos"/>
                <w:b w:val="0"/>
                <w:sz w:val="13"/>
              </w:rPr>
              <w:t>Open question</w:t>
            </w:r>
          </w:p>
        </w:tc>
      </w:tr>
      <w:tr>
        <w:tc>
          <w:tcPr>
            <w:tcW w:type="dxa" w:w="1800"/>
            <w:vAlign w:val="center"/>
          </w:tcPr>
          <w:p>
            <w:pPr>
              <w:spacing w:after="0" w:line="216" w:lineRule="auto"/>
            </w:pPr>
            <w:r>
              <w:rPr>
                <w:sz w:val="13"/>
              </w:rPr>
            </w:r>
            <w:r>
              <w:rPr>
                <w:rFonts w:ascii="Aptos" w:hAnsi="Aptos"/>
                <w:b w:val="0"/>
                <w:sz w:val="13"/>
              </w:rPr>
              <w:t>Business case</w:t>
            </w:r>
          </w:p>
        </w:tc>
        <w:tc>
          <w:tcPr>
            <w:tcW w:type="dxa" w:w="6912"/>
            <w:vAlign w:val="center"/>
          </w:tcPr>
          <w:p>
            <w:pPr>
              <w:spacing w:after="0" w:line="216" w:lineRule="auto"/>
            </w:pPr>
            <w:r>
              <w:rPr>
                <w:sz w:val="13"/>
              </w:rPr>
            </w:r>
            <w:r>
              <w:rPr>
                <w:rFonts w:ascii="Aptos" w:hAnsi="Aptos"/>
                <w:b w:val="0"/>
                <w:sz w:val="13"/>
              </w:rPr>
              <w:t>What evidence is sufficient to justify investment or scale?</w:t>
            </w:r>
          </w:p>
        </w:tc>
        <w:tc>
          <w:tcPr>
            <w:tcW w:type="dxa" w:w="1440"/>
            <w:vAlign w:val="center"/>
          </w:tcPr>
          <w:p>
            <w:pPr>
              <w:spacing w:after="0" w:line="216" w:lineRule="auto"/>
            </w:pPr>
            <w:r>
              <w:rPr>
                <w:sz w:val="13"/>
              </w:rPr>
            </w:r>
            <w:r>
              <w:rPr>
                <w:rFonts w:ascii="Aptos" w:hAnsi="Aptos"/>
                <w:b w:val="0"/>
                <w:sz w:val="13"/>
              </w:rPr>
              <w:t>Open question</w:t>
            </w:r>
          </w:p>
        </w:tc>
      </w:tr>
      <w:tr>
        <w:tc>
          <w:tcPr>
            <w:tcW w:type="dxa" w:w="1800"/>
            <w:vAlign w:val="center"/>
          </w:tcPr>
          <w:p>
            <w:pPr>
              <w:spacing w:after="0" w:line="216" w:lineRule="auto"/>
            </w:pPr>
            <w:r>
              <w:rPr>
                <w:sz w:val="13"/>
              </w:rPr>
            </w:r>
            <w:r>
              <w:rPr>
                <w:rFonts w:ascii="Aptos" w:hAnsi="Aptos"/>
                <w:b w:val="0"/>
                <w:sz w:val="13"/>
              </w:rPr>
              <w:t>Dependencies</w:t>
            </w:r>
          </w:p>
        </w:tc>
        <w:tc>
          <w:tcPr>
            <w:tcW w:type="dxa" w:w="6912"/>
            <w:vAlign w:val="center"/>
          </w:tcPr>
          <w:p>
            <w:pPr>
              <w:spacing w:after="0" w:line="216" w:lineRule="auto"/>
            </w:pPr>
            <w:r>
              <w:rPr>
                <w:sz w:val="13"/>
              </w:rPr>
            </w:r>
            <w:r>
              <w:rPr>
                <w:rFonts w:ascii="Aptos" w:hAnsi="Aptos"/>
                <w:b w:val="0"/>
                <w:sz w:val="13"/>
              </w:rPr>
              <w:t>Which F01 to F05 capabilities must mature before scale can be assessed responsibly?</w:t>
            </w:r>
          </w:p>
        </w:tc>
        <w:tc>
          <w:tcPr>
            <w:tcW w:type="dxa" w:w="1440"/>
            <w:vAlign w:val="center"/>
          </w:tcPr>
          <w:p>
            <w:pPr>
              <w:spacing w:after="0" w:line="216" w:lineRule="auto"/>
            </w:pPr>
            <w:r>
              <w:rPr>
                <w:sz w:val="13"/>
              </w:rPr>
            </w:r>
            <w:r>
              <w:rPr>
                <w:rFonts w:ascii="Aptos" w:hAnsi="Aptos"/>
                <w:b w:val="0"/>
                <w:sz w:val="13"/>
              </w:rPr>
              <w:t>Open question</w:t>
            </w:r>
          </w:p>
        </w:tc>
      </w:tr>
      <w:tr>
        <w:tc>
          <w:tcPr>
            <w:tcW w:type="dxa" w:w="1800"/>
            <w:vAlign w:val="center"/>
          </w:tcPr>
          <w:p>
            <w:pPr>
              <w:spacing w:after="0" w:line="216" w:lineRule="auto"/>
            </w:pPr>
            <w:r>
              <w:rPr>
                <w:sz w:val="13"/>
              </w:rPr>
            </w:r>
            <w:r>
              <w:rPr>
                <w:rFonts w:ascii="Aptos" w:hAnsi="Aptos"/>
                <w:b w:val="0"/>
                <w:sz w:val="13"/>
              </w:rPr>
              <w:t>Risk and rollback</w:t>
            </w:r>
          </w:p>
        </w:tc>
        <w:tc>
          <w:tcPr>
            <w:tcW w:type="dxa" w:w="6912"/>
            <w:vAlign w:val="center"/>
          </w:tcPr>
          <w:p>
            <w:pPr>
              <w:spacing w:after="0" w:line="216" w:lineRule="auto"/>
            </w:pPr>
            <w:r>
              <w:rPr>
                <w:sz w:val="13"/>
              </w:rPr>
            </w:r>
            <w:r>
              <w:rPr>
                <w:rFonts w:ascii="Aptos" w:hAnsi="Aptos"/>
                <w:b w:val="0"/>
                <w:sz w:val="13"/>
              </w:rPr>
              <w:t>What happens if growth, integrations or regional expansion creates unacceptable cost or service risk?</w:t>
            </w:r>
          </w:p>
        </w:tc>
        <w:tc>
          <w:tcPr>
            <w:tcW w:type="dxa" w:w="1440"/>
            <w:vAlign w:val="center"/>
          </w:tcPr>
          <w:p>
            <w:pPr>
              <w:spacing w:after="0" w:line="216" w:lineRule="auto"/>
            </w:pPr>
            <w:r>
              <w:rPr>
                <w:sz w:val="13"/>
              </w:rPr>
            </w:r>
            <w:r>
              <w:rPr>
                <w:rFonts w:ascii="Aptos" w:hAnsi="Aptos"/>
                <w:b w:val="0"/>
                <w:sz w:val="13"/>
              </w:rPr>
              <w:t>Open question</w:t>
            </w:r>
          </w:p>
        </w:tc>
      </w:tr>
    </w:tbl>
    <w:p>
      <w:pPr>
        <w:pStyle w:val="Heading1"/>
        <w:spacing w:before="60" w:after="20" w:line="228" w:lineRule="auto"/>
      </w:pPr>
      <w:r>
        <w:t>5. Candidate Future Requirements and Story Direction</w:t>
      </w:r>
    </w:p>
    <w:p>
      <w:pPr>
        <w:spacing w:after="30" w:line="228" w:lineRule="auto"/>
      </w:pPr>
      <w:r>
        <w:t>F06 remains intentionally unnumbered at this stage. The scale scenarios, technical evidence, operating model, geographic scope, cost drivers and business case are not sufficiently resolved to assign formal future requirement or story IDs.</w:t>
      </w:r>
    </w:p>
    <w:tbl>
      <w:tblPr>
        <w:tblStyle w:val="TableGrid"/>
        <w:tblW w:type="auto" w:w="0"/>
        <w:jc w:val="center"/>
        <w:tblLook w:firstColumn="1" w:firstRow="1" w:lastColumn="0" w:lastRow="0" w:noHBand="0" w:noVBand="1" w:val="04A0"/>
      </w:tblPr>
      <w:tblGrid>
        <w:gridCol w:w="5227"/>
        <w:gridCol w:w="5227"/>
      </w:tblGrid>
      <w:tr>
        <w:tc>
          <w:tcPr>
            <w:tcW w:type="dxa" w:w="7128"/>
            <w:shd w:fill="D9EAF7"/>
            <w:vAlign w:val="center"/>
          </w:tcPr>
          <w:p>
            <w:pPr>
              <w:spacing w:after="0" w:line="216" w:lineRule="auto"/>
            </w:pPr>
            <w:r>
              <w:rPr>
                <w:sz w:val="13"/>
              </w:rPr>
            </w:r>
            <w:r>
              <w:rPr>
                <w:rFonts w:ascii="Aptos" w:hAnsi="Aptos"/>
                <w:b/>
                <w:sz w:val="13"/>
              </w:rPr>
              <w:t>Candidate requirement direction</w:t>
            </w:r>
          </w:p>
        </w:tc>
        <w:tc>
          <w:tcPr>
            <w:tcW w:type="dxa" w:w="3024"/>
            <w:shd w:fill="D9EAF7"/>
            <w:vAlign w:val="center"/>
          </w:tcPr>
          <w:p>
            <w:pPr>
              <w:spacing w:after="0" w:line="216" w:lineRule="auto"/>
            </w:pPr>
            <w:r>
              <w:rPr>
                <w:sz w:val="13"/>
              </w:rPr>
            </w:r>
            <w:r>
              <w:rPr>
                <w:rFonts w:ascii="Aptos" w:hAnsi="Aptos"/>
                <w:b/>
                <w:sz w:val="13"/>
              </w:rPr>
              <w:t>Current state</w:t>
            </w:r>
          </w:p>
        </w:tc>
      </w:tr>
      <w:tr>
        <w:tc>
          <w:tcPr>
            <w:tcW w:type="dxa" w:w="7128"/>
            <w:vAlign w:val="center"/>
          </w:tcPr>
          <w:p>
            <w:pPr>
              <w:spacing w:after="0" w:line="216" w:lineRule="auto"/>
            </w:pPr>
            <w:r>
              <w:rPr>
                <w:sz w:val="13"/>
              </w:rPr>
            </w:r>
            <w:r>
              <w:rPr>
                <w:rFonts w:ascii="Aptos" w:hAnsi="Aptos"/>
                <w:b w:val="0"/>
                <w:sz w:val="13"/>
              </w:rPr>
              <w:t>EcoGrow may support wider adoption through an evidenced technical, operational and integration capacity model.</w:t>
            </w:r>
          </w:p>
        </w:tc>
        <w:tc>
          <w:tcPr>
            <w:tcW w:type="dxa" w:w="3024"/>
            <w:vAlign w:val="center"/>
          </w:tcPr>
          <w:p>
            <w:pPr>
              <w:spacing w:after="0" w:line="216" w:lineRule="auto"/>
            </w:pPr>
            <w:r>
              <w:rPr>
                <w:sz w:val="13"/>
              </w:rPr>
            </w:r>
            <w:r>
              <w:rPr>
                <w:rFonts w:ascii="Aptos" w:hAnsi="Aptos"/>
                <w:b w:val="0"/>
                <w:sz w:val="13"/>
              </w:rPr>
              <w:t>Discovery candidate, no FR number assigned.</w:t>
            </w:r>
          </w:p>
        </w:tc>
      </w:tr>
      <w:tr>
        <w:tc>
          <w:tcPr>
            <w:tcW w:type="dxa" w:w="7128"/>
            <w:vAlign w:val="center"/>
          </w:tcPr>
          <w:p>
            <w:pPr>
              <w:spacing w:after="0" w:line="216" w:lineRule="auto"/>
            </w:pPr>
            <w:r>
              <w:rPr>
                <w:sz w:val="13"/>
              </w:rPr>
            </w:r>
            <w:r>
              <w:rPr>
                <w:rFonts w:ascii="Aptos" w:hAnsi="Aptos"/>
                <w:b w:val="0"/>
                <w:sz w:val="13"/>
              </w:rPr>
              <w:t>EcoGrow may assess geographic, content and cost readiness before committing to broader expansion.</w:t>
            </w:r>
          </w:p>
        </w:tc>
        <w:tc>
          <w:tcPr>
            <w:tcW w:type="dxa" w:w="3024"/>
            <w:vAlign w:val="center"/>
          </w:tcPr>
          <w:p>
            <w:pPr>
              <w:spacing w:after="0" w:line="216" w:lineRule="auto"/>
            </w:pPr>
            <w:r>
              <w:rPr>
                <w:sz w:val="13"/>
              </w:rPr>
            </w:r>
            <w:r>
              <w:rPr>
                <w:rFonts w:ascii="Aptos" w:hAnsi="Aptos"/>
                <w:b w:val="0"/>
                <w:sz w:val="13"/>
              </w:rPr>
              <w:t>Discovery candidate, gated by evidence and business case.</w:t>
            </w:r>
          </w:p>
        </w:tc>
      </w:tr>
    </w:tbl>
    <w:p>
      <w:pPr>
        <w:spacing w:after="30" w:line="228" w:lineRule="auto"/>
      </w:pPr>
      <w:r>
        <w:t>Potential story direction: As a product owner, I want to understand whether EcoGrow can scale sustainably across usage, geography, content and operating needs so that expansion decisions are evidence-based.</w:t>
      </w:r>
    </w:p>
    <w:p>
      <w:pPr>
        <w:spacing w:after="30" w:line="228" w:lineRule="auto"/>
      </w:pPr>
      <w:r>
        <w:t>Important control: This is a discovery candidate only. No formal future-state story ID, acceptance criteria or Jira issue is created in this pass.</w:t>
      </w:r>
    </w:p>
    <w:p>
      <w:pPr>
        <w:pStyle w:val="Heading1"/>
        <w:spacing w:before="60" w:after="20" w:line="228" w:lineRule="auto"/>
      </w:pPr>
      <w:r>
        <w:t>6. Data, Integration, Scale and Cost Discovery</w:t>
      </w:r>
    </w:p>
    <w:tbl>
      <w:tblPr>
        <w:tblStyle w:val="TableGrid"/>
        <w:tblW w:type="auto" w:w="0"/>
        <w:jc w:val="center"/>
        <w:tblLook w:firstColumn="1" w:firstRow="1" w:lastColumn="0" w:lastRow="0" w:noHBand="0" w:noVBand="1" w:val="04A0"/>
      </w:tblPr>
      <w:tblGrid>
        <w:gridCol w:w="3485"/>
        <w:gridCol w:w="3485"/>
        <w:gridCol w:w="3485"/>
      </w:tblGrid>
      <w:tr>
        <w:tc>
          <w:tcPr>
            <w:tcW w:type="dxa" w:w="2088"/>
            <w:shd w:fill="D9EAF7"/>
            <w:vAlign w:val="center"/>
          </w:tcPr>
          <w:p>
            <w:pPr>
              <w:spacing w:after="0" w:line="216" w:lineRule="auto"/>
            </w:pPr>
            <w:r>
              <w:rPr>
                <w:sz w:val="13"/>
              </w:rPr>
            </w:r>
            <w:r>
              <w:rPr>
                <w:rFonts w:ascii="Aptos" w:hAnsi="Aptos"/>
                <w:b/>
                <w:sz w:val="13"/>
              </w:rPr>
              <w:t>Area</w:t>
            </w:r>
          </w:p>
        </w:tc>
        <w:tc>
          <w:tcPr>
            <w:tcW w:type="dxa" w:w="6696"/>
            <w:shd w:fill="D9EAF7"/>
            <w:vAlign w:val="center"/>
          </w:tcPr>
          <w:p>
            <w:pPr>
              <w:spacing w:after="0" w:line="216" w:lineRule="auto"/>
            </w:pPr>
            <w:r>
              <w:rPr>
                <w:sz w:val="13"/>
              </w:rPr>
            </w:r>
            <w:r>
              <w:rPr>
                <w:rFonts w:ascii="Aptos" w:hAnsi="Aptos"/>
                <w:b/>
                <w:sz w:val="13"/>
              </w:rPr>
              <w:t>Question to resolve</w:t>
            </w:r>
          </w:p>
        </w:tc>
        <w:tc>
          <w:tcPr>
            <w:tcW w:type="dxa" w:w="1368"/>
            <w:shd w:fill="D9EAF7"/>
            <w:vAlign w:val="center"/>
          </w:tcPr>
          <w:p>
            <w:pPr>
              <w:spacing w:after="0" w:line="216" w:lineRule="auto"/>
            </w:pPr>
            <w:r>
              <w:rPr>
                <w:sz w:val="13"/>
              </w:rPr>
            </w:r>
            <w:r>
              <w:rPr>
                <w:rFonts w:ascii="Aptos" w:hAnsi="Aptos"/>
                <w:b/>
                <w:sz w:val="13"/>
              </w:rPr>
              <w:t>Status</w:t>
            </w:r>
          </w:p>
        </w:tc>
      </w:tr>
      <w:tr>
        <w:tc>
          <w:tcPr>
            <w:tcW w:type="dxa" w:w="2088"/>
            <w:vAlign w:val="center"/>
          </w:tcPr>
          <w:p>
            <w:pPr>
              <w:spacing w:after="0" w:line="216" w:lineRule="auto"/>
            </w:pPr>
            <w:r>
              <w:rPr>
                <w:sz w:val="13"/>
              </w:rPr>
            </w:r>
            <w:r>
              <w:rPr>
                <w:rFonts w:ascii="Aptos" w:hAnsi="Aptos"/>
                <w:b w:val="0"/>
                <w:sz w:val="13"/>
              </w:rPr>
              <w:t>Platform capacity</w:t>
            </w:r>
          </w:p>
        </w:tc>
        <w:tc>
          <w:tcPr>
            <w:tcW w:type="dxa" w:w="6696"/>
            <w:vAlign w:val="center"/>
          </w:tcPr>
          <w:p>
            <w:pPr>
              <w:spacing w:after="0" w:line="216" w:lineRule="auto"/>
            </w:pPr>
            <w:r>
              <w:rPr>
                <w:sz w:val="13"/>
              </w:rPr>
            </w:r>
            <w:r>
              <w:rPr>
                <w:rFonts w:ascii="Aptos" w:hAnsi="Aptos"/>
                <w:b w:val="0"/>
                <w:sz w:val="13"/>
              </w:rPr>
              <w:t>What capacity indicators are needed for traffic, data storage, API use and service load?</w:t>
            </w:r>
          </w:p>
        </w:tc>
        <w:tc>
          <w:tcPr>
            <w:tcW w:type="dxa" w:w="1368"/>
            <w:vAlign w:val="center"/>
          </w:tcPr>
          <w:p>
            <w:pPr>
              <w:spacing w:after="0" w:line="216" w:lineRule="auto"/>
            </w:pPr>
            <w:r>
              <w:rPr>
                <w:sz w:val="13"/>
              </w:rPr>
            </w:r>
            <w:r>
              <w:rPr>
                <w:rFonts w:ascii="Aptos" w:hAnsi="Aptos"/>
                <w:b w:val="0"/>
                <w:sz w:val="13"/>
              </w:rPr>
              <w:t>Open question</w:t>
            </w:r>
          </w:p>
        </w:tc>
      </w:tr>
      <w:tr>
        <w:tc>
          <w:tcPr>
            <w:tcW w:type="dxa" w:w="2088"/>
            <w:vAlign w:val="center"/>
          </w:tcPr>
          <w:p>
            <w:pPr>
              <w:spacing w:after="0" w:line="216" w:lineRule="auto"/>
            </w:pPr>
            <w:r>
              <w:rPr>
                <w:sz w:val="13"/>
              </w:rPr>
            </w:r>
            <w:r>
              <w:rPr>
                <w:rFonts w:ascii="Aptos" w:hAnsi="Aptos"/>
                <w:b w:val="0"/>
                <w:sz w:val="13"/>
              </w:rPr>
              <w:t>External integrations</w:t>
            </w:r>
          </w:p>
        </w:tc>
        <w:tc>
          <w:tcPr>
            <w:tcW w:type="dxa" w:w="6696"/>
            <w:vAlign w:val="center"/>
          </w:tcPr>
          <w:p>
            <w:pPr>
              <w:spacing w:after="0" w:line="216" w:lineRule="auto"/>
            </w:pPr>
            <w:r>
              <w:rPr>
                <w:sz w:val="13"/>
              </w:rPr>
            </w:r>
            <w:r>
              <w:rPr>
                <w:rFonts w:ascii="Aptos" w:hAnsi="Aptos"/>
                <w:b w:val="0"/>
                <w:sz w:val="13"/>
              </w:rPr>
              <w:t>Which APIs or external services create scale, reliability or cost dependency?</w:t>
            </w:r>
          </w:p>
        </w:tc>
        <w:tc>
          <w:tcPr>
            <w:tcW w:type="dxa" w:w="1368"/>
            <w:vAlign w:val="center"/>
          </w:tcPr>
          <w:p>
            <w:pPr>
              <w:spacing w:after="0" w:line="216" w:lineRule="auto"/>
            </w:pPr>
            <w:r>
              <w:rPr>
                <w:sz w:val="13"/>
              </w:rPr>
            </w:r>
            <w:r>
              <w:rPr>
                <w:rFonts w:ascii="Aptos" w:hAnsi="Aptos"/>
                <w:b w:val="0"/>
                <w:sz w:val="13"/>
              </w:rPr>
              <w:t>Open question</w:t>
            </w:r>
          </w:p>
        </w:tc>
      </w:tr>
      <w:tr>
        <w:tc>
          <w:tcPr>
            <w:tcW w:type="dxa" w:w="2088"/>
            <w:vAlign w:val="center"/>
          </w:tcPr>
          <w:p>
            <w:pPr>
              <w:spacing w:after="0" w:line="216" w:lineRule="auto"/>
            </w:pPr>
            <w:r>
              <w:rPr>
                <w:sz w:val="13"/>
              </w:rPr>
            </w:r>
            <w:r>
              <w:rPr>
                <w:rFonts w:ascii="Aptos" w:hAnsi="Aptos"/>
                <w:b w:val="0"/>
                <w:sz w:val="13"/>
              </w:rPr>
              <w:t>Data and storage</w:t>
            </w:r>
          </w:p>
        </w:tc>
        <w:tc>
          <w:tcPr>
            <w:tcW w:type="dxa" w:w="6696"/>
            <w:vAlign w:val="center"/>
          </w:tcPr>
          <w:p>
            <w:pPr>
              <w:spacing w:after="0" w:line="216" w:lineRule="auto"/>
            </w:pPr>
            <w:r>
              <w:rPr>
                <w:sz w:val="13"/>
              </w:rPr>
            </w:r>
            <w:r>
              <w:rPr>
                <w:rFonts w:ascii="Aptos" w:hAnsi="Aptos"/>
                <w:b w:val="0"/>
                <w:sz w:val="13"/>
              </w:rPr>
              <w:t>What data growth and retention patterns materially affect cost or performance?</w:t>
            </w:r>
          </w:p>
        </w:tc>
        <w:tc>
          <w:tcPr>
            <w:tcW w:type="dxa" w:w="1368"/>
            <w:vAlign w:val="center"/>
          </w:tcPr>
          <w:p>
            <w:pPr>
              <w:spacing w:after="0" w:line="216" w:lineRule="auto"/>
            </w:pPr>
            <w:r>
              <w:rPr>
                <w:sz w:val="13"/>
              </w:rPr>
            </w:r>
            <w:r>
              <w:rPr>
                <w:rFonts w:ascii="Aptos" w:hAnsi="Aptos"/>
                <w:b w:val="0"/>
                <w:sz w:val="13"/>
              </w:rPr>
              <w:t>Open question</w:t>
            </w:r>
          </w:p>
        </w:tc>
      </w:tr>
      <w:tr>
        <w:tc>
          <w:tcPr>
            <w:tcW w:type="dxa" w:w="2088"/>
            <w:vAlign w:val="center"/>
          </w:tcPr>
          <w:p>
            <w:pPr>
              <w:spacing w:after="0" w:line="216" w:lineRule="auto"/>
            </w:pPr>
            <w:r>
              <w:rPr>
                <w:sz w:val="13"/>
              </w:rPr>
            </w:r>
            <w:r>
              <w:rPr>
                <w:rFonts w:ascii="Aptos" w:hAnsi="Aptos"/>
                <w:b w:val="0"/>
                <w:sz w:val="13"/>
              </w:rPr>
              <w:t>Observability</w:t>
            </w:r>
          </w:p>
        </w:tc>
        <w:tc>
          <w:tcPr>
            <w:tcW w:type="dxa" w:w="6696"/>
            <w:vAlign w:val="center"/>
          </w:tcPr>
          <w:p>
            <w:pPr>
              <w:spacing w:after="0" w:line="216" w:lineRule="auto"/>
            </w:pPr>
            <w:r>
              <w:rPr>
                <w:sz w:val="13"/>
              </w:rPr>
            </w:r>
            <w:r>
              <w:rPr>
                <w:rFonts w:ascii="Aptos" w:hAnsi="Aptos"/>
                <w:b w:val="0"/>
                <w:sz w:val="13"/>
              </w:rPr>
              <w:t>What monitoring and usage measures are needed to identify scale constraints?</w:t>
            </w:r>
          </w:p>
        </w:tc>
        <w:tc>
          <w:tcPr>
            <w:tcW w:type="dxa" w:w="1368"/>
            <w:vAlign w:val="center"/>
          </w:tcPr>
          <w:p>
            <w:pPr>
              <w:spacing w:after="0" w:line="216" w:lineRule="auto"/>
            </w:pPr>
            <w:r>
              <w:rPr>
                <w:sz w:val="13"/>
              </w:rPr>
            </w:r>
            <w:r>
              <w:rPr>
                <w:rFonts w:ascii="Aptos" w:hAnsi="Aptos"/>
                <w:b w:val="0"/>
                <w:sz w:val="13"/>
              </w:rPr>
              <w:t>Open question</w:t>
            </w:r>
          </w:p>
        </w:tc>
      </w:tr>
      <w:tr>
        <w:tc>
          <w:tcPr>
            <w:tcW w:type="dxa" w:w="2088"/>
            <w:vAlign w:val="center"/>
          </w:tcPr>
          <w:p>
            <w:pPr>
              <w:spacing w:after="0" w:line="216" w:lineRule="auto"/>
            </w:pPr>
            <w:r>
              <w:rPr>
                <w:sz w:val="13"/>
              </w:rPr>
            </w:r>
            <w:r>
              <w:rPr>
                <w:rFonts w:ascii="Aptos" w:hAnsi="Aptos"/>
                <w:b w:val="0"/>
                <w:sz w:val="13"/>
              </w:rPr>
              <w:t>Operational support</w:t>
            </w:r>
          </w:p>
        </w:tc>
        <w:tc>
          <w:tcPr>
            <w:tcW w:type="dxa" w:w="6696"/>
            <w:vAlign w:val="center"/>
          </w:tcPr>
          <w:p>
            <w:pPr>
              <w:spacing w:after="0" w:line="216" w:lineRule="auto"/>
            </w:pPr>
            <w:r>
              <w:rPr>
                <w:sz w:val="13"/>
              </w:rPr>
            </w:r>
            <w:r>
              <w:rPr>
                <w:rFonts w:ascii="Aptos" w:hAnsi="Aptos"/>
                <w:b w:val="0"/>
                <w:sz w:val="13"/>
              </w:rPr>
              <w:t>What support model is required for broader adoption?</w:t>
            </w:r>
          </w:p>
        </w:tc>
        <w:tc>
          <w:tcPr>
            <w:tcW w:type="dxa" w:w="1368"/>
            <w:vAlign w:val="center"/>
          </w:tcPr>
          <w:p>
            <w:pPr>
              <w:spacing w:after="0" w:line="216" w:lineRule="auto"/>
            </w:pPr>
            <w:r>
              <w:rPr>
                <w:sz w:val="13"/>
              </w:rPr>
            </w:r>
            <w:r>
              <w:rPr>
                <w:rFonts w:ascii="Aptos" w:hAnsi="Aptos"/>
                <w:b w:val="0"/>
                <w:sz w:val="13"/>
              </w:rPr>
              <w:t>Open question</w:t>
            </w:r>
          </w:p>
        </w:tc>
      </w:tr>
      <w:tr>
        <w:tc>
          <w:tcPr>
            <w:tcW w:type="dxa" w:w="2088"/>
            <w:vAlign w:val="center"/>
          </w:tcPr>
          <w:p>
            <w:pPr>
              <w:spacing w:after="0" w:line="216" w:lineRule="auto"/>
            </w:pPr>
            <w:r>
              <w:rPr>
                <w:sz w:val="13"/>
              </w:rPr>
            </w:r>
            <w:r>
              <w:rPr>
                <w:rFonts w:ascii="Aptos" w:hAnsi="Aptos"/>
                <w:b w:val="0"/>
                <w:sz w:val="13"/>
              </w:rPr>
              <w:t>Geographic infrastructure</w:t>
            </w:r>
          </w:p>
        </w:tc>
        <w:tc>
          <w:tcPr>
            <w:tcW w:type="dxa" w:w="6696"/>
            <w:vAlign w:val="center"/>
          </w:tcPr>
          <w:p>
            <w:pPr>
              <w:spacing w:after="0" w:line="216" w:lineRule="auto"/>
            </w:pPr>
            <w:r>
              <w:rPr>
                <w:sz w:val="13"/>
              </w:rPr>
            </w:r>
            <w:r>
              <w:rPr>
                <w:rFonts w:ascii="Aptos" w:hAnsi="Aptos"/>
                <w:b w:val="0"/>
                <w:sz w:val="13"/>
              </w:rPr>
              <w:t>What regional infrastructure, time-zone or market constraints matter?</w:t>
            </w:r>
          </w:p>
        </w:tc>
        <w:tc>
          <w:tcPr>
            <w:tcW w:type="dxa" w:w="1368"/>
            <w:vAlign w:val="center"/>
          </w:tcPr>
          <w:p>
            <w:pPr>
              <w:spacing w:after="0" w:line="216" w:lineRule="auto"/>
            </w:pPr>
            <w:r>
              <w:rPr>
                <w:sz w:val="13"/>
              </w:rPr>
            </w:r>
            <w:r>
              <w:rPr>
                <w:rFonts w:ascii="Aptos" w:hAnsi="Aptos"/>
                <w:b w:val="0"/>
                <w:sz w:val="13"/>
              </w:rPr>
              <w:t>Open question</w:t>
            </w:r>
          </w:p>
        </w:tc>
      </w:tr>
      <w:tr>
        <w:tc>
          <w:tcPr>
            <w:tcW w:type="dxa" w:w="2088"/>
            <w:vAlign w:val="center"/>
          </w:tcPr>
          <w:p>
            <w:pPr>
              <w:spacing w:after="0" w:line="216" w:lineRule="auto"/>
            </w:pPr>
            <w:r>
              <w:rPr>
                <w:sz w:val="13"/>
              </w:rPr>
            </w:r>
            <w:r>
              <w:rPr>
                <w:rFonts w:ascii="Aptos" w:hAnsi="Aptos"/>
                <w:b w:val="0"/>
                <w:sz w:val="13"/>
              </w:rPr>
              <w:t>Content operations</w:t>
            </w:r>
          </w:p>
        </w:tc>
        <w:tc>
          <w:tcPr>
            <w:tcW w:type="dxa" w:w="6696"/>
            <w:vAlign w:val="center"/>
          </w:tcPr>
          <w:p>
            <w:pPr>
              <w:spacing w:after="0" w:line="216" w:lineRule="auto"/>
            </w:pPr>
            <w:r>
              <w:rPr>
                <w:sz w:val="13"/>
              </w:rPr>
            </w:r>
            <w:r>
              <w:rPr>
                <w:rFonts w:ascii="Aptos" w:hAnsi="Aptos"/>
                <w:b w:val="0"/>
                <w:sz w:val="13"/>
              </w:rPr>
              <w:t>What localisation and content-review capacity is required?</w:t>
            </w:r>
          </w:p>
        </w:tc>
        <w:tc>
          <w:tcPr>
            <w:tcW w:type="dxa" w:w="1368"/>
            <w:vAlign w:val="center"/>
          </w:tcPr>
          <w:p>
            <w:pPr>
              <w:spacing w:after="0" w:line="216" w:lineRule="auto"/>
            </w:pPr>
            <w:r>
              <w:rPr>
                <w:sz w:val="13"/>
              </w:rPr>
            </w:r>
            <w:r>
              <w:rPr>
                <w:rFonts w:ascii="Aptos" w:hAnsi="Aptos"/>
                <w:b w:val="0"/>
                <w:sz w:val="13"/>
              </w:rPr>
              <w:t>Cross-epic dependency</w:t>
            </w:r>
          </w:p>
        </w:tc>
      </w:tr>
      <w:tr>
        <w:tc>
          <w:tcPr>
            <w:tcW w:type="dxa" w:w="2088"/>
            <w:vAlign w:val="center"/>
          </w:tcPr>
          <w:p>
            <w:pPr>
              <w:spacing w:after="0" w:line="216" w:lineRule="auto"/>
            </w:pPr>
            <w:r>
              <w:rPr>
                <w:sz w:val="13"/>
              </w:rPr>
            </w:r>
            <w:r>
              <w:rPr>
                <w:rFonts w:ascii="Aptos" w:hAnsi="Aptos"/>
                <w:b w:val="0"/>
                <w:sz w:val="13"/>
              </w:rPr>
              <w:t>Cost model</w:t>
            </w:r>
          </w:p>
        </w:tc>
        <w:tc>
          <w:tcPr>
            <w:tcW w:type="dxa" w:w="6696"/>
            <w:vAlign w:val="center"/>
          </w:tcPr>
          <w:p>
            <w:pPr>
              <w:spacing w:after="0" w:line="216" w:lineRule="auto"/>
            </w:pPr>
            <w:r>
              <w:rPr>
                <w:sz w:val="13"/>
              </w:rPr>
            </w:r>
            <w:r>
              <w:rPr>
                <w:rFonts w:ascii="Aptos" w:hAnsi="Aptos"/>
                <w:b w:val="0"/>
                <w:sz w:val="13"/>
              </w:rPr>
              <w:t>What cost drivers change with adoption and what assumptions must be evidenced?</w:t>
            </w:r>
          </w:p>
        </w:tc>
        <w:tc>
          <w:tcPr>
            <w:tcW w:type="dxa" w:w="1368"/>
            <w:vAlign w:val="center"/>
          </w:tcPr>
          <w:p>
            <w:pPr>
              <w:spacing w:after="0" w:line="216" w:lineRule="auto"/>
            </w:pPr>
            <w:r>
              <w:rPr>
                <w:sz w:val="13"/>
              </w:rPr>
            </w:r>
            <w:r>
              <w:rPr>
                <w:rFonts w:ascii="Aptos" w:hAnsi="Aptos"/>
                <w:b w:val="0"/>
                <w:sz w:val="13"/>
              </w:rPr>
              <w:t>Open question</w:t>
            </w:r>
          </w:p>
        </w:tc>
      </w:tr>
      <w:tr>
        <w:tc>
          <w:tcPr>
            <w:tcW w:type="dxa" w:w="2088"/>
            <w:vAlign w:val="center"/>
          </w:tcPr>
          <w:p>
            <w:pPr>
              <w:spacing w:after="0" w:line="216" w:lineRule="auto"/>
            </w:pPr>
            <w:r>
              <w:rPr>
                <w:sz w:val="13"/>
              </w:rPr>
            </w:r>
            <w:r>
              <w:rPr>
                <w:rFonts w:ascii="Aptos" w:hAnsi="Aptos"/>
                <w:b w:val="0"/>
                <w:sz w:val="13"/>
              </w:rPr>
              <w:t>Business case</w:t>
            </w:r>
          </w:p>
        </w:tc>
        <w:tc>
          <w:tcPr>
            <w:tcW w:type="dxa" w:w="6696"/>
            <w:vAlign w:val="center"/>
          </w:tcPr>
          <w:p>
            <w:pPr>
              <w:spacing w:after="0" w:line="216" w:lineRule="auto"/>
            </w:pPr>
            <w:r>
              <w:rPr>
                <w:sz w:val="13"/>
              </w:rPr>
            </w:r>
            <w:r>
              <w:rPr>
                <w:rFonts w:ascii="Aptos" w:hAnsi="Aptos"/>
                <w:b w:val="0"/>
                <w:sz w:val="13"/>
              </w:rPr>
              <w:t>Which scenarios and outcomes justify a scale investment?</w:t>
            </w:r>
          </w:p>
        </w:tc>
        <w:tc>
          <w:tcPr>
            <w:tcW w:type="dxa" w:w="1368"/>
            <w:vAlign w:val="center"/>
          </w:tcPr>
          <w:p>
            <w:pPr>
              <w:spacing w:after="0" w:line="216" w:lineRule="auto"/>
            </w:pPr>
            <w:r>
              <w:rPr>
                <w:sz w:val="13"/>
              </w:rPr>
            </w:r>
            <w:r>
              <w:rPr>
                <w:rFonts w:ascii="Aptos" w:hAnsi="Aptos"/>
                <w:b w:val="0"/>
                <w:sz w:val="13"/>
              </w:rPr>
              <w:t>Open question</w:t>
            </w:r>
          </w:p>
        </w:tc>
      </w:tr>
    </w:tbl>
    <w:p>
      <w:pPr>
        <w:pStyle w:val="Heading1"/>
        <w:spacing w:before="60" w:after="20" w:line="228" w:lineRule="auto"/>
      </w:pPr>
      <w:r>
        <w:t>7. Governance and Stakeholder Boundary</w:t>
      </w:r>
    </w:p>
    <w:p>
      <w:pPr>
        <w:spacing w:after="30" w:line="228" w:lineRule="auto"/>
      </w:pPr>
      <w:r>
        <w:t>I will not add future stakeholders to the current MVP register based on framework expectations alone. F06 introduces a distinct scale, operating-model, cost and business-case question that should remain separate from F01 content authority, F02 weather, F03 plant health, F04 regional plant intelligence and F05 personalisation.</w:t>
      </w:r>
    </w:p>
    <w:tbl>
      <w:tblPr>
        <w:tblStyle w:val="TableGrid"/>
        <w:tblW w:type="auto" w:w="0"/>
        <w:jc w:val="center"/>
        <w:tblLook w:firstColumn="1" w:firstRow="1" w:lastColumn="0" w:lastRow="0" w:noHBand="0" w:noVBand="1" w:val="04A0"/>
      </w:tblPr>
      <w:tblGrid>
        <w:gridCol w:w="3485"/>
        <w:gridCol w:w="3485"/>
        <w:gridCol w:w="3485"/>
      </w:tblGrid>
      <w:tr>
        <w:tc>
          <w:tcPr>
            <w:tcW w:type="dxa" w:w="2232"/>
            <w:shd w:fill="D9EAF7"/>
            <w:vAlign w:val="center"/>
          </w:tcPr>
          <w:p>
            <w:pPr>
              <w:spacing w:after="0" w:line="216" w:lineRule="auto"/>
            </w:pPr>
            <w:r>
              <w:rPr>
                <w:sz w:val="13"/>
              </w:rPr>
            </w:r>
            <w:r>
              <w:rPr>
                <w:rFonts w:ascii="Aptos" w:hAnsi="Aptos"/>
                <w:b/>
                <w:sz w:val="13"/>
              </w:rPr>
              <w:t>Role / expertise</w:t>
            </w:r>
          </w:p>
        </w:tc>
        <w:tc>
          <w:tcPr>
            <w:tcW w:type="dxa" w:w="6048"/>
            <w:shd w:fill="D9EAF7"/>
            <w:vAlign w:val="center"/>
          </w:tcPr>
          <w:p>
            <w:pPr>
              <w:spacing w:after="0" w:line="216" w:lineRule="auto"/>
            </w:pPr>
            <w:r>
              <w:rPr>
                <w:sz w:val="13"/>
              </w:rPr>
            </w:r>
            <w:r>
              <w:rPr>
                <w:rFonts w:ascii="Aptos" w:hAnsi="Aptos"/>
                <w:b/>
                <w:sz w:val="13"/>
              </w:rPr>
              <w:t>Potential F06 relevance</w:t>
            </w:r>
          </w:p>
        </w:tc>
        <w:tc>
          <w:tcPr>
            <w:tcW w:type="dxa" w:w="1872"/>
            <w:shd w:fill="D9EAF7"/>
            <w:vAlign w:val="center"/>
          </w:tcPr>
          <w:p>
            <w:pPr>
              <w:spacing w:after="0" w:line="216" w:lineRule="auto"/>
            </w:pPr>
            <w:r>
              <w:rPr>
                <w:sz w:val="13"/>
              </w:rPr>
            </w:r>
            <w:r>
              <w:rPr>
                <w:rFonts w:ascii="Aptos" w:hAnsi="Aptos"/>
                <w:b/>
                <w:sz w:val="13"/>
              </w:rPr>
              <w:t>Current position</w:t>
            </w:r>
          </w:p>
        </w:tc>
      </w:tr>
      <w:tr>
        <w:tc>
          <w:tcPr>
            <w:tcW w:type="dxa" w:w="2232"/>
            <w:vAlign w:val="center"/>
          </w:tcPr>
          <w:p>
            <w:pPr>
              <w:spacing w:after="0" w:line="216" w:lineRule="auto"/>
            </w:pPr>
            <w:r>
              <w:rPr>
                <w:sz w:val="13"/>
              </w:rPr>
            </w:r>
            <w:r>
              <w:rPr>
                <w:rFonts w:ascii="Aptos" w:hAnsi="Aptos"/>
                <w:b w:val="0"/>
                <w:sz w:val="13"/>
              </w:rPr>
              <w:t>Product Owner / GreenSphere</w:t>
            </w:r>
          </w:p>
        </w:tc>
        <w:tc>
          <w:tcPr>
            <w:tcW w:type="dxa" w:w="6048"/>
            <w:vAlign w:val="center"/>
          </w:tcPr>
          <w:p>
            <w:pPr>
              <w:spacing w:after="0" w:line="216" w:lineRule="auto"/>
            </w:pPr>
            <w:r>
              <w:rPr>
                <w:sz w:val="13"/>
              </w:rPr>
            </w:r>
            <w:r>
              <w:rPr>
                <w:rFonts w:ascii="Aptos" w:hAnsi="Aptos"/>
                <w:b w:val="0"/>
                <w:sz w:val="13"/>
              </w:rPr>
              <w:t>Confirms scale need, value, priority and eventual decision.</w:t>
            </w:r>
          </w:p>
        </w:tc>
        <w:tc>
          <w:tcPr>
            <w:tcW w:type="dxa" w:w="1872"/>
            <w:vAlign w:val="center"/>
          </w:tcPr>
          <w:p>
            <w:pPr>
              <w:spacing w:after="0" w:line="216" w:lineRule="auto"/>
            </w:pPr>
            <w:r>
              <w:rPr>
                <w:sz w:val="13"/>
              </w:rPr>
            </w:r>
            <w:r>
              <w:rPr>
                <w:rFonts w:ascii="Aptos" w:hAnsi="Aptos"/>
                <w:b w:val="0"/>
                <w:sz w:val="13"/>
              </w:rPr>
              <w:t>Governance role</w:t>
            </w:r>
          </w:p>
        </w:tc>
      </w:tr>
      <w:tr>
        <w:tc>
          <w:tcPr>
            <w:tcW w:type="dxa" w:w="2232"/>
            <w:vAlign w:val="center"/>
          </w:tcPr>
          <w:p>
            <w:pPr>
              <w:spacing w:after="0" w:line="216" w:lineRule="auto"/>
            </w:pPr>
            <w:r>
              <w:rPr>
                <w:sz w:val="13"/>
              </w:rPr>
            </w:r>
            <w:r>
              <w:rPr>
                <w:rFonts w:ascii="Aptos" w:hAnsi="Aptos"/>
                <w:b w:val="0"/>
                <w:sz w:val="13"/>
              </w:rPr>
              <w:t>Technical / Architecture</w:t>
            </w:r>
          </w:p>
        </w:tc>
        <w:tc>
          <w:tcPr>
            <w:tcW w:type="dxa" w:w="6048"/>
            <w:vAlign w:val="center"/>
          </w:tcPr>
          <w:p>
            <w:pPr>
              <w:spacing w:after="0" w:line="216" w:lineRule="auto"/>
            </w:pPr>
            <w:r>
              <w:rPr>
                <w:sz w:val="13"/>
              </w:rPr>
            </w:r>
            <w:r>
              <w:rPr>
                <w:rFonts w:ascii="Aptos" w:hAnsi="Aptos"/>
                <w:b w:val="0"/>
                <w:sz w:val="13"/>
              </w:rPr>
              <w:t>Assesses capacity, integration, resilience and technical constraints.</w:t>
            </w:r>
          </w:p>
        </w:tc>
        <w:tc>
          <w:tcPr>
            <w:tcW w:type="dxa" w:w="1872"/>
            <w:vAlign w:val="center"/>
          </w:tcPr>
          <w:p>
            <w:pPr>
              <w:spacing w:after="0" w:line="216" w:lineRule="auto"/>
            </w:pPr>
            <w:r>
              <w:rPr>
                <w:sz w:val="13"/>
              </w:rPr>
            </w:r>
            <w:r>
              <w:rPr>
                <w:rFonts w:ascii="Aptos" w:hAnsi="Aptos"/>
                <w:b w:val="0"/>
                <w:sz w:val="13"/>
              </w:rPr>
              <w:t>Delivery dependency, ownership TBD</w:t>
            </w:r>
          </w:p>
        </w:tc>
      </w:tr>
      <w:tr>
        <w:tc>
          <w:tcPr>
            <w:tcW w:type="dxa" w:w="2232"/>
            <w:vAlign w:val="center"/>
          </w:tcPr>
          <w:p>
            <w:pPr>
              <w:spacing w:after="0" w:line="216" w:lineRule="auto"/>
            </w:pPr>
            <w:r>
              <w:rPr>
                <w:sz w:val="13"/>
              </w:rPr>
            </w:r>
            <w:r>
              <w:rPr>
                <w:rFonts w:ascii="Aptos" w:hAnsi="Aptos"/>
                <w:b w:val="0"/>
                <w:sz w:val="13"/>
              </w:rPr>
              <w:t>Operations / Support</w:t>
            </w:r>
          </w:p>
        </w:tc>
        <w:tc>
          <w:tcPr>
            <w:tcW w:type="dxa" w:w="6048"/>
            <w:vAlign w:val="center"/>
          </w:tcPr>
          <w:p>
            <w:pPr>
              <w:spacing w:after="0" w:line="216" w:lineRule="auto"/>
            </w:pPr>
            <w:r>
              <w:rPr>
                <w:sz w:val="13"/>
              </w:rPr>
            </w:r>
            <w:r>
              <w:rPr>
                <w:rFonts w:ascii="Aptos" w:hAnsi="Aptos"/>
                <w:b w:val="0"/>
                <w:sz w:val="13"/>
              </w:rPr>
              <w:t>Assesses monitoring, support and service continuity.</w:t>
            </w:r>
          </w:p>
        </w:tc>
        <w:tc>
          <w:tcPr>
            <w:tcW w:type="dxa" w:w="1872"/>
            <w:vAlign w:val="center"/>
          </w:tcPr>
          <w:p>
            <w:pPr>
              <w:spacing w:after="0" w:line="216" w:lineRule="auto"/>
            </w:pPr>
            <w:r>
              <w:rPr>
                <w:sz w:val="13"/>
              </w:rPr>
            </w:r>
            <w:r>
              <w:rPr>
                <w:rFonts w:ascii="Aptos" w:hAnsi="Aptos"/>
                <w:b w:val="0"/>
                <w:sz w:val="13"/>
              </w:rPr>
              <w:t>Open governance question</w:t>
            </w:r>
          </w:p>
        </w:tc>
      </w:tr>
      <w:tr>
        <w:tc>
          <w:tcPr>
            <w:tcW w:type="dxa" w:w="2232"/>
            <w:vAlign w:val="center"/>
          </w:tcPr>
          <w:p>
            <w:pPr>
              <w:spacing w:after="0" w:line="216" w:lineRule="auto"/>
            </w:pPr>
            <w:r>
              <w:rPr>
                <w:sz w:val="13"/>
              </w:rPr>
            </w:r>
            <w:r>
              <w:rPr>
                <w:rFonts w:ascii="Aptos" w:hAnsi="Aptos"/>
                <w:b w:val="0"/>
                <w:sz w:val="13"/>
              </w:rPr>
              <w:t>Content / Regional expertise</w:t>
            </w:r>
          </w:p>
        </w:tc>
        <w:tc>
          <w:tcPr>
            <w:tcW w:type="dxa" w:w="6048"/>
            <w:vAlign w:val="center"/>
          </w:tcPr>
          <w:p>
            <w:pPr>
              <w:spacing w:after="0" w:line="216" w:lineRule="auto"/>
            </w:pPr>
            <w:r>
              <w:rPr>
                <w:sz w:val="13"/>
              </w:rPr>
            </w:r>
            <w:r>
              <w:rPr>
                <w:rFonts w:ascii="Aptos" w:hAnsi="Aptos"/>
                <w:b w:val="0"/>
                <w:sz w:val="13"/>
              </w:rPr>
              <w:t>May inform regional content and localisation readiness.</w:t>
            </w:r>
          </w:p>
        </w:tc>
        <w:tc>
          <w:tcPr>
            <w:tcW w:type="dxa" w:w="1872"/>
            <w:vAlign w:val="center"/>
          </w:tcPr>
          <w:p>
            <w:pPr>
              <w:spacing w:after="0" w:line="216" w:lineRule="auto"/>
            </w:pPr>
            <w:r>
              <w:rPr>
                <w:sz w:val="13"/>
              </w:rPr>
            </w:r>
            <w:r>
              <w:rPr>
                <w:rFonts w:ascii="Aptos" w:hAnsi="Aptos"/>
                <w:b w:val="0"/>
                <w:sz w:val="13"/>
              </w:rPr>
              <w:t>Cross-epic dependency; F04 remains capability owner</w:t>
            </w:r>
          </w:p>
        </w:tc>
      </w:tr>
      <w:tr>
        <w:tc>
          <w:tcPr>
            <w:tcW w:type="dxa" w:w="2232"/>
            <w:vAlign w:val="center"/>
          </w:tcPr>
          <w:p>
            <w:pPr>
              <w:spacing w:after="0" w:line="216" w:lineRule="auto"/>
            </w:pPr>
            <w:r>
              <w:rPr>
                <w:sz w:val="13"/>
              </w:rPr>
            </w:r>
            <w:r>
              <w:rPr>
                <w:rFonts w:ascii="Aptos" w:hAnsi="Aptos"/>
                <w:b w:val="0"/>
                <w:sz w:val="13"/>
              </w:rPr>
              <w:t>Cost / Commercial expertise</w:t>
            </w:r>
          </w:p>
        </w:tc>
        <w:tc>
          <w:tcPr>
            <w:tcW w:type="dxa" w:w="6048"/>
            <w:vAlign w:val="center"/>
          </w:tcPr>
          <w:p>
            <w:pPr>
              <w:spacing w:after="0" w:line="216" w:lineRule="auto"/>
            </w:pPr>
            <w:r>
              <w:rPr>
                <w:sz w:val="13"/>
              </w:rPr>
            </w:r>
            <w:r>
              <w:rPr>
                <w:rFonts w:ascii="Aptos" w:hAnsi="Aptos"/>
                <w:b w:val="0"/>
                <w:sz w:val="13"/>
              </w:rPr>
              <w:t>May validate cost drivers and business-case assumptions.</w:t>
            </w:r>
          </w:p>
        </w:tc>
        <w:tc>
          <w:tcPr>
            <w:tcW w:type="dxa" w:w="1872"/>
            <w:vAlign w:val="center"/>
          </w:tcPr>
          <w:p>
            <w:pPr>
              <w:spacing w:after="0" w:line="216" w:lineRule="auto"/>
            </w:pPr>
            <w:r>
              <w:rPr>
                <w:sz w:val="13"/>
              </w:rPr>
            </w:r>
            <w:r>
              <w:rPr>
                <w:rFonts w:ascii="Aptos" w:hAnsi="Aptos"/>
                <w:b w:val="0"/>
                <w:sz w:val="13"/>
              </w:rPr>
              <w:t>Open governance question, not added yet</w:t>
            </w:r>
          </w:p>
        </w:tc>
      </w:tr>
    </w:tbl>
    <w:p>
      <w:pPr>
        <w:pStyle w:val="Heading1"/>
        <w:spacing w:before="60" w:after="20" w:line="228" w:lineRule="auto"/>
      </w:pPr>
      <w:r>
        <w:t>8. NFR Discovery Themes</w:t>
      </w:r>
    </w:p>
    <w:tbl>
      <w:tblPr>
        <w:tblStyle w:val="TableGrid"/>
        <w:tblW w:type="auto" w:w="0"/>
        <w:jc w:val="center"/>
        <w:tblLook w:firstColumn="1" w:firstRow="1" w:lastColumn="0" w:lastRow="0" w:noHBand="0" w:noVBand="1" w:val="04A0"/>
      </w:tblPr>
      <w:tblGrid>
        <w:gridCol w:w="3485"/>
        <w:gridCol w:w="3485"/>
        <w:gridCol w:w="3485"/>
      </w:tblGrid>
      <w:tr>
        <w:tc>
          <w:tcPr>
            <w:tcW w:type="dxa" w:w="2232"/>
            <w:shd w:fill="D9EAF7"/>
            <w:vAlign w:val="center"/>
          </w:tcPr>
          <w:p>
            <w:pPr>
              <w:spacing w:after="0" w:line="216" w:lineRule="auto"/>
            </w:pPr>
            <w:r>
              <w:rPr>
                <w:sz w:val="13"/>
              </w:rPr>
            </w:r>
            <w:r>
              <w:rPr>
                <w:rFonts w:ascii="Aptos" w:hAnsi="Aptos"/>
                <w:b/>
                <w:sz w:val="13"/>
              </w:rPr>
              <w:t>Theme</w:t>
            </w:r>
          </w:p>
        </w:tc>
        <w:tc>
          <w:tcPr>
            <w:tcW w:type="dxa" w:w="6264"/>
            <w:shd w:fill="D9EAF7"/>
            <w:vAlign w:val="center"/>
          </w:tcPr>
          <w:p>
            <w:pPr>
              <w:spacing w:after="0" w:line="216" w:lineRule="auto"/>
            </w:pPr>
            <w:r>
              <w:rPr>
                <w:sz w:val="13"/>
              </w:rPr>
            </w:r>
            <w:r>
              <w:rPr>
                <w:rFonts w:ascii="Aptos" w:hAnsi="Aptos"/>
                <w:b/>
                <w:sz w:val="13"/>
              </w:rPr>
              <w:t>Why it matters</w:t>
            </w:r>
          </w:p>
        </w:tc>
        <w:tc>
          <w:tcPr>
            <w:tcW w:type="dxa" w:w="1656"/>
            <w:shd w:fill="D9EAF7"/>
            <w:vAlign w:val="center"/>
          </w:tcPr>
          <w:p>
            <w:pPr>
              <w:spacing w:after="0" w:line="216" w:lineRule="auto"/>
            </w:pPr>
            <w:r>
              <w:rPr>
                <w:sz w:val="13"/>
              </w:rPr>
            </w:r>
            <w:r>
              <w:rPr>
                <w:rFonts w:ascii="Aptos" w:hAnsi="Aptos"/>
                <w:b/>
                <w:sz w:val="13"/>
              </w:rPr>
              <w:t>Current state</w:t>
            </w:r>
          </w:p>
        </w:tc>
      </w:tr>
      <w:tr>
        <w:tc>
          <w:tcPr>
            <w:tcW w:type="dxa" w:w="2232"/>
            <w:vAlign w:val="center"/>
          </w:tcPr>
          <w:p>
            <w:pPr>
              <w:spacing w:after="0" w:line="216" w:lineRule="auto"/>
            </w:pPr>
            <w:r>
              <w:rPr>
                <w:sz w:val="13"/>
              </w:rPr>
            </w:r>
            <w:r>
              <w:rPr>
                <w:rFonts w:ascii="Aptos" w:hAnsi="Aptos"/>
                <w:b w:val="0"/>
                <w:sz w:val="13"/>
              </w:rPr>
              <w:t>Scalability</w:t>
            </w:r>
          </w:p>
        </w:tc>
        <w:tc>
          <w:tcPr>
            <w:tcW w:type="dxa" w:w="6264"/>
            <w:vAlign w:val="center"/>
          </w:tcPr>
          <w:p>
            <w:pPr>
              <w:spacing w:after="0" w:line="216" w:lineRule="auto"/>
            </w:pPr>
            <w:r>
              <w:rPr>
                <w:sz w:val="13"/>
              </w:rPr>
            </w:r>
            <w:r>
              <w:rPr>
                <w:rFonts w:ascii="Aptos" w:hAnsi="Aptos"/>
                <w:b w:val="0"/>
                <w:sz w:val="13"/>
              </w:rPr>
              <w:t>Capacity should remain adequate for validated adoption scenarios.</w:t>
            </w:r>
          </w:p>
        </w:tc>
        <w:tc>
          <w:tcPr>
            <w:tcW w:type="dxa" w:w="1656"/>
            <w:vAlign w:val="center"/>
          </w:tcPr>
          <w:p>
            <w:pPr>
              <w:spacing w:after="0" w:line="216" w:lineRule="auto"/>
            </w:pPr>
            <w:r>
              <w:rPr>
                <w:sz w:val="13"/>
              </w:rPr>
            </w:r>
            <w:r>
              <w:rPr>
                <w:rFonts w:ascii="Aptos" w:hAnsi="Aptos"/>
                <w:b w:val="0"/>
                <w:sz w:val="13"/>
              </w:rPr>
              <w:t>Discovery theme</w:t>
            </w:r>
          </w:p>
        </w:tc>
      </w:tr>
      <w:tr>
        <w:tc>
          <w:tcPr>
            <w:tcW w:type="dxa" w:w="2232"/>
            <w:vAlign w:val="center"/>
          </w:tcPr>
          <w:p>
            <w:pPr>
              <w:spacing w:after="0" w:line="216" w:lineRule="auto"/>
            </w:pPr>
            <w:r>
              <w:rPr>
                <w:sz w:val="13"/>
              </w:rPr>
            </w:r>
            <w:r>
              <w:rPr>
                <w:rFonts w:ascii="Aptos" w:hAnsi="Aptos"/>
                <w:b w:val="0"/>
                <w:sz w:val="13"/>
              </w:rPr>
              <w:t>Performance</w:t>
            </w:r>
          </w:p>
        </w:tc>
        <w:tc>
          <w:tcPr>
            <w:tcW w:type="dxa" w:w="6264"/>
            <w:vAlign w:val="center"/>
          </w:tcPr>
          <w:p>
            <w:pPr>
              <w:spacing w:after="0" w:line="216" w:lineRule="auto"/>
            </w:pPr>
            <w:r>
              <w:rPr>
                <w:sz w:val="13"/>
              </w:rPr>
            </w:r>
            <w:r>
              <w:rPr>
                <w:rFonts w:ascii="Aptos" w:hAnsi="Aptos"/>
                <w:b w:val="0"/>
                <w:sz w:val="13"/>
              </w:rPr>
              <w:t>Response behaviour must remain within agreed service expectations.</w:t>
            </w:r>
          </w:p>
        </w:tc>
        <w:tc>
          <w:tcPr>
            <w:tcW w:type="dxa" w:w="1656"/>
            <w:vAlign w:val="center"/>
          </w:tcPr>
          <w:p>
            <w:pPr>
              <w:spacing w:after="0" w:line="216" w:lineRule="auto"/>
            </w:pPr>
            <w:r>
              <w:rPr>
                <w:sz w:val="13"/>
              </w:rPr>
            </w:r>
            <w:r>
              <w:rPr>
                <w:rFonts w:ascii="Aptos" w:hAnsi="Aptos"/>
                <w:b w:val="0"/>
                <w:sz w:val="13"/>
              </w:rPr>
              <w:t>Discovery theme</w:t>
            </w:r>
          </w:p>
        </w:tc>
      </w:tr>
      <w:tr>
        <w:tc>
          <w:tcPr>
            <w:tcW w:type="dxa" w:w="2232"/>
            <w:vAlign w:val="center"/>
          </w:tcPr>
          <w:p>
            <w:pPr>
              <w:spacing w:after="0" w:line="216" w:lineRule="auto"/>
            </w:pPr>
            <w:r>
              <w:rPr>
                <w:sz w:val="13"/>
              </w:rPr>
            </w:r>
            <w:r>
              <w:rPr>
                <w:rFonts w:ascii="Aptos" w:hAnsi="Aptos"/>
                <w:b w:val="0"/>
                <w:sz w:val="13"/>
              </w:rPr>
              <w:t>Availability and resilience</w:t>
            </w:r>
          </w:p>
        </w:tc>
        <w:tc>
          <w:tcPr>
            <w:tcW w:type="dxa" w:w="6264"/>
            <w:vAlign w:val="center"/>
          </w:tcPr>
          <w:p>
            <w:pPr>
              <w:spacing w:after="0" w:line="216" w:lineRule="auto"/>
            </w:pPr>
            <w:r>
              <w:rPr>
                <w:sz w:val="13"/>
              </w:rPr>
            </w:r>
            <w:r>
              <w:rPr>
                <w:rFonts w:ascii="Aptos" w:hAnsi="Aptos"/>
                <w:b w:val="0"/>
                <w:sz w:val="13"/>
              </w:rPr>
              <w:t>Wider adoption requires defined continuity and fallback expectations.</w:t>
            </w:r>
          </w:p>
        </w:tc>
        <w:tc>
          <w:tcPr>
            <w:tcW w:type="dxa" w:w="1656"/>
            <w:vAlign w:val="center"/>
          </w:tcPr>
          <w:p>
            <w:pPr>
              <w:spacing w:after="0" w:line="216" w:lineRule="auto"/>
            </w:pPr>
            <w:r>
              <w:rPr>
                <w:sz w:val="13"/>
              </w:rPr>
            </w:r>
            <w:r>
              <w:rPr>
                <w:rFonts w:ascii="Aptos" w:hAnsi="Aptos"/>
                <w:b w:val="0"/>
                <w:sz w:val="13"/>
              </w:rPr>
              <w:t>Discovery theme</w:t>
            </w:r>
          </w:p>
        </w:tc>
      </w:tr>
      <w:tr>
        <w:tc>
          <w:tcPr>
            <w:tcW w:type="dxa" w:w="2232"/>
            <w:vAlign w:val="center"/>
          </w:tcPr>
          <w:p>
            <w:pPr>
              <w:spacing w:after="0" w:line="216" w:lineRule="auto"/>
            </w:pPr>
            <w:r>
              <w:rPr>
                <w:sz w:val="13"/>
              </w:rPr>
            </w:r>
            <w:r>
              <w:rPr>
                <w:rFonts w:ascii="Aptos" w:hAnsi="Aptos"/>
                <w:b w:val="0"/>
                <w:sz w:val="13"/>
              </w:rPr>
              <w:t>Observability</w:t>
            </w:r>
          </w:p>
        </w:tc>
        <w:tc>
          <w:tcPr>
            <w:tcW w:type="dxa" w:w="6264"/>
            <w:vAlign w:val="center"/>
          </w:tcPr>
          <w:p>
            <w:pPr>
              <w:spacing w:after="0" w:line="216" w:lineRule="auto"/>
            </w:pPr>
            <w:r>
              <w:rPr>
                <w:sz w:val="13"/>
              </w:rPr>
            </w:r>
            <w:r>
              <w:rPr>
                <w:rFonts w:ascii="Aptos" w:hAnsi="Aptos"/>
                <w:b w:val="0"/>
                <w:sz w:val="13"/>
              </w:rPr>
              <w:t>Scale constraints and service health must be measurable.</w:t>
            </w:r>
          </w:p>
        </w:tc>
        <w:tc>
          <w:tcPr>
            <w:tcW w:type="dxa" w:w="1656"/>
            <w:vAlign w:val="center"/>
          </w:tcPr>
          <w:p>
            <w:pPr>
              <w:spacing w:after="0" w:line="216" w:lineRule="auto"/>
            </w:pPr>
            <w:r>
              <w:rPr>
                <w:sz w:val="13"/>
              </w:rPr>
            </w:r>
            <w:r>
              <w:rPr>
                <w:rFonts w:ascii="Aptos" w:hAnsi="Aptos"/>
                <w:b w:val="0"/>
                <w:sz w:val="13"/>
              </w:rPr>
              <w:t>Discovery theme</w:t>
            </w:r>
          </w:p>
        </w:tc>
      </w:tr>
      <w:tr>
        <w:tc>
          <w:tcPr>
            <w:tcW w:type="dxa" w:w="2232"/>
            <w:vAlign w:val="center"/>
          </w:tcPr>
          <w:p>
            <w:pPr>
              <w:spacing w:after="0" w:line="216" w:lineRule="auto"/>
            </w:pPr>
            <w:r>
              <w:rPr>
                <w:sz w:val="13"/>
              </w:rPr>
            </w:r>
            <w:r>
              <w:rPr>
                <w:rFonts w:ascii="Aptos" w:hAnsi="Aptos"/>
                <w:b w:val="0"/>
                <w:sz w:val="13"/>
              </w:rPr>
              <w:t>Security</w:t>
            </w:r>
          </w:p>
        </w:tc>
        <w:tc>
          <w:tcPr>
            <w:tcW w:type="dxa" w:w="6264"/>
            <w:vAlign w:val="center"/>
          </w:tcPr>
          <w:p>
            <w:pPr>
              <w:spacing w:after="0" w:line="216" w:lineRule="auto"/>
            </w:pPr>
            <w:r>
              <w:rPr>
                <w:sz w:val="13"/>
              </w:rPr>
            </w:r>
            <w:r>
              <w:rPr>
                <w:rFonts w:ascii="Aptos" w:hAnsi="Aptos"/>
                <w:b w:val="0"/>
                <w:sz w:val="13"/>
              </w:rPr>
              <w:t>Growth increases the importance of controlled access and integration security.</w:t>
            </w:r>
          </w:p>
        </w:tc>
        <w:tc>
          <w:tcPr>
            <w:tcW w:type="dxa" w:w="1656"/>
            <w:vAlign w:val="center"/>
          </w:tcPr>
          <w:p>
            <w:pPr>
              <w:spacing w:after="0" w:line="216" w:lineRule="auto"/>
            </w:pPr>
            <w:r>
              <w:rPr>
                <w:sz w:val="13"/>
              </w:rPr>
            </w:r>
            <w:r>
              <w:rPr>
                <w:rFonts w:ascii="Aptos" w:hAnsi="Aptos"/>
                <w:b w:val="0"/>
                <w:sz w:val="13"/>
              </w:rPr>
              <w:t>Discovery theme</w:t>
            </w:r>
          </w:p>
        </w:tc>
      </w:tr>
      <w:tr>
        <w:tc>
          <w:tcPr>
            <w:tcW w:type="dxa" w:w="2232"/>
            <w:vAlign w:val="center"/>
          </w:tcPr>
          <w:p>
            <w:pPr>
              <w:spacing w:after="0" w:line="216" w:lineRule="auto"/>
            </w:pPr>
            <w:r>
              <w:rPr>
                <w:sz w:val="13"/>
              </w:rPr>
            </w:r>
            <w:r>
              <w:rPr>
                <w:rFonts w:ascii="Aptos" w:hAnsi="Aptos"/>
                <w:b w:val="0"/>
                <w:sz w:val="13"/>
              </w:rPr>
              <w:t>Maintainability</w:t>
            </w:r>
          </w:p>
        </w:tc>
        <w:tc>
          <w:tcPr>
            <w:tcW w:type="dxa" w:w="6264"/>
            <w:vAlign w:val="center"/>
          </w:tcPr>
          <w:p>
            <w:pPr>
              <w:spacing w:after="0" w:line="216" w:lineRule="auto"/>
            </w:pPr>
            <w:r>
              <w:rPr>
                <w:sz w:val="13"/>
              </w:rPr>
            </w:r>
            <w:r>
              <w:rPr>
                <w:rFonts w:ascii="Aptos" w:hAnsi="Aptos"/>
                <w:b w:val="0"/>
                <w:sz w:val="13"/>
              </w:rPr>
              <w:t>Technical and operational changes should remain supportable as scope grows.</w:t>
            </w:r>
          </w:p>
        </w:tc>
        <w:tc>
          <w:tcPr>
            <w:tcW w:type="dxa" w:w="1656"/>
            <w:vAlign w:val="center"/>
          </w:tcPr>
          <w:p>
            <w:pPr>
              <w:spacing w:after="0" w:line="216" w:lineRule="auto"/>
            </w:pPr>
            <w:r>
              <w:rPr>
                <w:sz w:val="13"/>
              </w:rPr>
            </w:r>
            <w:r>
              <w:rPr>
                <w:rFonts w:ascii="Aptos" w:hAnsi="Aptos"/>
                <w:b w:val="0"/>
                <w:sz w:val="13"/>
              </w:rPr>
              <w:t>Discovery theme</w:t>
            </w:r>
          </w:p>
        </w:tc>
      </w:tr>
      <w:tr>
        <w:tc>
          <w:tcPr>
            <w:tcW w:type="dxa" w:w="2232"/>
            <w:vAlign w:val="center"/>
          </w:tcPr>
          <w:p>
            <w:pPr>
              <w:spacing w:after="0" w:line="216" w:lineRule="auto"/>
            </w:pPr>
            <w:r>
              <w:rPr>
                <w:sz w:val="13"/>
              </w:rPr>
            </w:r>
            <w:r>
              <w:rPr>
                <w:rFonts w:ascii="Aptos" w:hAnsi="Aptos"/>
                <w:b w:val="0"/>
                <w:sz w:val="13"/>
              </w:rPr>
              <w:t>Cost efficiency</w:t>
            </w:r>
          </w:p>
        </w:tc>
        <w:tc>
          <w:tcPr>
            <w:tcW w:type="dxa" w:w="6264"/>
            <w:vAlign w:val="center"/>
          </w:tcPr>
          <w:p>
            <w:pPr>
              <w:spacing w:after="0" w:line="216" w:lineRule="auto"/>
            </w:pPr>
            <w:r>
              <w:rPr>
                <w:sz w:val="13"/>
              </w:rPr>
            </w:r>
            <w:r>
              <w:rPr>
                <w:rFonts w:ascii="Aptos" w:hAnsi="Aptos"/>
                <w:b w:val="0"/>
                <w:sz w:val="13"/>
              </w:rPr>
              <w:t>Scale assumptions should remain economically understandable and controllable.</w:t>
            </w:r>
          </w:p>
        </w:tc>
        <w:tc>
          <w:tcPr>
            <w:tcW w:type="dxa" w:w="1656"/>
            <w:vAlign w:val="center"/>
          </w:tcPr>
          <w:p>
            <w:pPr>
              <w:spacing w:after="0" w:line="216" w:lineRule="auto"/>
            </w:pPr>
            <w:r>
              <w:rPr>
                <w:sz w:val="13"/>
              </w:rPr>
            </w:r>
            <w:r>
              <w:rPr>
                <w:rFonts w:ascii="Aptos" w:hAnsi="Aptos"/>
                <w:b w:val="0"/>
                <w:sz w:val="13"/>
              </w:rPr>
              <w:t>Discovery theme</w:t>
            </w:r>
          </w:p>
        </w:tc>
      </w:tr>
      <w:tr>
        <w:tc>
          <w:tcPr>
            <w:tcW w:type="dxa" w:w="2232"/>
            <w:vAlign w:val="center"/>
          </w:tcPr>
          <w:p>
            <w:pPr>
              <w:spacing w:after="0" w:line="216" w:lineRule="auto"/>
            </w:pPr>
            <w:r>
              <w:rPr>
                <w:sz w:val="13"/>
              </w:rPr>
            </w:r>
            <w:r>
              <w:rPr>
                <w:rFonts w:ascii="Aptos" w:hAnsi="Aptos"/>
                <w:b w:val="0"/>
                <w:sz w:val="13"/>
              </w:rPr>
              <w:t>Global readiness</w:t>
            </w:r>
          </w:p>
        </w:tc>
        <w:tc>
          <w:tcPr>
            <w:tcW w:type="dxa" w:w="6264"/>
            <w:vAlign w:val="center"/>
          </w:tcPr>
          <w:p>
            <w:pPr>
              <w:spacing w:after="0" w:line="216" w:lineRule="auto"/>
            </w:pPr>
            <w:r>
              <w:rPr>
                <w:sz w:val="13"/>
              </w:rPr>
            </w:r>
            <w:r>
              <w:rPr>
                <w:rFonts w:ascii="Aptos" w:hAnsi="Aptos"/>
                <w:b w:val="0"/>
                <w:sz w:val="13"/>
              </w:rPr>
              <w:t>Geographic expansion should have defined operational and content support conditions.</w:t>
            </w:r>
          </w:p>
        </w:tc>
        <w:tc>
          <w:tcPr>
            <w:tcW w:type="dxa" w:w="1656"/>
            <w:vAlign w:val="center"/>
          </w:tcPr>
          <w:p>
            <w:pPr>
              <w:spacing w:after="0" w:line="216" w:lineRule="auto"/>
            </w:pPr>
            <w:r>
              <w:rPr>
                <w:sz w:val="13"/>
              </w:rPr>
            </w:r>
            <w:r>
              <w:rPr>
                <w:rFonts w:ascii="Aptos" w:hAnsi="Aptos"/>
                <w:b w:val="0"/>
                <w:sz w:val="13"/>
              </w:rPr>
              <w:t>Discovery theme</w:t>
            </w:r>
          </w:p>
        </w:tc>
      </w:tr>
    </w:tbl>
    <w:p>
      <w:pPr>
        <w:pStyle w:val="Heading1"/>
        <w:spacing w:before="60" w:after="20" w:line="228" w:lineRule="auto"/>
      </w:pPr>
      <w:r>
        <w:t>9. Discovery Questions and Progression Gate</w:t>
      </w:r>
    </w:p>
    <w:tbl>
      <w:tblPr>
        <w:tblStyle w:val="TableGrid"/>
        <w:tblW w:type="auto" w:w="0"/>
        <w:jc w:val="center"/>
        <w:tblLook w:firstColumn="1" w:firstRow="1" w:lastColumn="0" w:lastRow="0" w:noHBand="0" w:noVBand="1" w:val="04A0"/>
      </w:tblPr>
      <w:tblGrid>
        <w:gridCol w:w="5227"/>
        <w:gridCol w:w="5227"/>
      </w:tblGrid>
      <w:tr>
        <w:tc>
          <w:tcPr>
            <w:tcW w:type="dxa" w:w="2880"/>
            <w:shd w:fill="D9EAF7"/>
            <w:vAlign w:val="center"/>
          </w:tcPr>
          <w:p>
            <w:pPr>
              <w:spacing w:after="0" w:line="216" w:lineRule="auto"/>
            </w:pPr>
            <w:r>
              <w:rPr>
                <w:sz w:val="13"/>
              </w:rPr>
            </w:r>
            <w:r>
              <w:rPr>
                <w:rFonts w:ascii="Aptos" w:hAnsi="Aptos"/>
                <w:b/>
                <w:sz w:val="13"/>
              </w:rPr>
              <w:t>Gate</w:t>
            </w:r>
          </w:p>
        </w:tc>
        <w:tc>
          <w:tcPr>
            <w:tcW w:type="dxa" w:w="7272"/>
            <w:shd w:fill="D9EAF7"/>
            <w:vAlign w:val="center"/>
          </w:tcPr>
          <w:p>
            <w:pPr>
              <w:spacing w:after="0" w:line="216" w:lineRule="auto"/>
            </w:pPr>
            <w:r>
              <w:rPr>
                <w:sz w:val="13"/>
              </w:rPr>
            </w:r>
            <w:r>
              <w:rPr>
                <w:rFonts w:ascii="Aptos" w:hAnsi="Aptos"/>
                <w:b/>
                <w:sz w:val="13"/>
              </w:rPr>
              <w:t>Required before delivery translation</w:t>
            </w:r>
          </w:p>
        </w:tc>
      </w:tr>
      <w:tr>
        <w:tc>
          <w:tcPr>
            <w:tcW w:type="dxa" w:w="2880"/>
            <w:vAlign w:val="center"/>
          </w:tcPr>
          <w:p>
            <w:pPr>
              <w:spacing w:after="0" w:line="216" w:lineRule="auto"/>
            </w:pPr>
            <w:r>
              <w:rPr>
                <w:sz w:val="13"/>
              </w:rPr>
            </w:r>
            <w:r>
              <w:rPr>
                <w:rFonts w:ascii="Aptos" w:hAnsi="Aptos"/>
                <w:b w:val="0"/>
                <w:sz w:val="13"/>
              </w:rPr>
              <w:t>Problem and adoption validation</w:t>
            </w:r>
          </w:p>
        </w:tc>
        <w:tc>
          <w:tcPr>
            <w:tcW w:type="dxa" w:w="7272"/>
            <w:vAlign w:val="center"/>
          </w:tcPr>
          <w:p>
            <w:pPr>
              <w:spacing w:after="0" w:line="216" w:lineRule="auto"/>
            </w:pPr>
            <w:r>
              <w:rPr>
                <w:sz w:val="13"/>
              </w:rPr>
            </w:r>
            <w:r>
              <w:rPr>
                <w:rFonts w:ascii="Aptos" w:hAnsi="Aptos"/>
                <w:b w:val="0"/>
                <w:sz w:val="13"/>
              </w:rPr>
              <w:t>Confirm the scale problem and credible adoption scenarios.</w:t>
            </w:r>
          </w:p>
        </w:tc>
      </w:tr>
      <w:tr>
        <w:tc>
          <w:tcPr>
            <w:tcW w:type="dxa" w:w="2880"/>
            <w:vAlign w:val="center"/>
          </w:tcPr>
          <w:p>
            <w:pPr>
              <w:spacing w:after="0" w:line="216" w:lineRule="auto"/>
            </w:pPr>
            <w:r>
              <w:rPr>
                <w:sz w:val="13"/>
              </w:rPr>
            </w:r>
            <w:r>
              <w:rPr>
                <w:rFonts w:ascii="Aptos" w:hAnsi="Aptos"/>
                <w:b w:val="0"/>
                <w:sz w:val="13"/>
              </w:rPr>
              <w:t>Scale evidence</w:t>
            </w:r>
          </w:p>
        </w:tc>
        <w:tc>
          <w:tcPr>
            <w:tcW w:type="dxa" w:w="7272"/>
            <w:vAlign w:val="center"/>
          </w:tcPr>
          <w:p>
            <w:pPr>
              <w:spacing w:after="0" w:line="216" w:lineRule="auto"/>
            </w:pPr>
            <w:r>
              <w:rPr>
                <w:sz w:val="13"/>
              </w:rPr>
            </w:r>
            <w:r>
              <w:rPr>
                <w:rFonts w:ascii="Aptos" w:hAnsi="Aptos"/>
                <w:b w:val="0"/>
                <w:sz w:val="13"/>
              </w:rPr>
              <w:t>Define the evidence needed for technical capacity, performance and reliability.</w:t>
            </w:r>
          </w:p>
        </w:tc>
      </w:tr>
      <w:tr>
        <w:tc>
          <w:tcPr>
            <w:tcW w:type="dxa" w:w="2880"/>
            <w:vAlign w:val="center"/>
          </w:tcPr>
          <w:p>
            <w:pPr>
              <w:spacing w:after="0" w:line="216" w:lineRule="auto"/>
            </w:pPr>
            <w:r>
              <w:rPr>
                <w:sz w:val="13"/>
              </w:rPr>
            </w:r>
            <w:r>
              <w:rPr>
                <w:rFonts w:ascii="Aptos" w:hAnsi="Aptos"/>
                <w:b w:val="0"/>
                <w:sz w:val="13"/>
              </w:rPr>
              <w:t>Architecture and integration</w:t>
            </w:r>
          </w:p>
        </w:tc>
        <w:tc>
          <w:tcPr>
            <w:tcW w:type="dxa" w:w="7272"/>
            <w:vAlign w:val="center"/>
          </w:tcPr>
          <w:p>
            <w:pPr>
              <w:spacing w:after="0" w:line="216" w:lineRule="auto"/>
            </w:pPr>
            <w:r>
              <w:rPr>
                <w:sz w:val="13"/>
              </w:rPr>
            </w:r>
            <w:r>
              <w:rPr>
                <w:rFonts w:ascii="Aptos" w:hAnsi="Aptos"/>
                <w:b w:val="0"/>
                <w:sz w:val="13"/>
              </w:rPr>
              <w:t>Confirm material architecture and external-service dependencies.</w:t>
            </w:r>
          </w:p>
        </w:tc>
      </w:tr>
      <w:tr>
        <w:tc>
          <w:tcPr>
            <w:tcW w:type="dxa" w:w="2880"/>
            <w:vAlign w:val="center"/>
          </w:tcPr>
          <w:p>
            <w:pPr>
              <w:spacing w:after="0" w:line="216" w:lineRule="auto"/>
            </w:pPr>
            <w:r>
              <w:rPr>
                <w:sz w:val="13"/>
              </w:rPr>
            </w:r>
            <w:r>
              <w:rPr>
                <w:rFonts w:ascii="Aptos" w:hAnsi="Aptos"/>
                <w:b w:val="0"/>
                <w:sz w:val="13"/>
              </w:rPr>
              <w:t>Operational readiness</w:t>
            </w:r>
          </w:p>
        </w:tc>
        <w:tc>
          <w:tcPr>
            <w:tcW w:type="dxa" w:w="7272"/>
            <w:vAlign w:val="center"/>
          </w:tcPr>
          <w:p>
            <w:pPr>
              <w:spacing w:after="0" w:line="216" w:lineRule="auto"/>
            </w:pPr>
            <w:r>
              <w:rPr>
                <w:sz w:val="13"/>
              </w:rPr>
            </w:r>
            <w:r>
              <w:rPr>
                <w:rFonts w:ascii="Aptos" w:hAnsi="Aptos"/>
                <w:b w:val="0"/>
                <w:sz w:val="13"/>
              </w:rPr>
              <w:t>Define ownership, monitoring, support and continuity expectations.</w:t>
            </w:r>
          </w:p>
        </w:tc>
      </w:tr>
      <w:tr>
        <w:tc>
          <w:tcPr>
            <w:tcW w:type="dxa" w:w="2880"/>
            <w:vAlign w:val="center"/>
          </w:tcPr>
          <w:p>
            <w:pPr>
              <w:spacing w:after="0" w:line="216" w:lineRule="auto"/>
            </w:pPr>
            <w:r>
              <w:rPr>
                <w:sz w:val="13"/>
              </w:rPr>
            </w:r>
            <w:r>
              <w:rPr>
                <w:rFonts w:ascii="Aptos" w:hAnsi="Aptos"/>
                <w:b w:val="0"/>
                <w:sz w:val="13"/>
              </w:rPr>
              <w:t>Geographic readiness</w:t>
            </w:r>
          </w:p>
        </w:tc>
        <w:tc>
          <w:tcPr>
            <w:tcW w:type="dxa" w:w="7272"/>
            <w:vAlign w:val="center"/>
          </w:tcPr>
          <w:p>
            <w:pPr>
              <w:spacing w:after="0" w:line="216" w:lineRule="auto"/>
            </w:pPr>
            <w:r>
              <w:rPr>
                <w:sz w:val="13"/>
              </w:rPr>
            </w:r>
            <w:r>
              <w:rPr>
                <w:rFonts w:ascii="Aptos" w:hAnsi="Aptos"/>
                <w:b w:val="0"/>
                <w:sz w:val="13"/>
              </w:rPr>
              <w:t>Define initial geographic scope and regional operating constraints.</w:t>
            </w:r>
          </w:p>
        </w:tc>
      </w:tr>
      <w:tr>
        <w:tc>
          <w:tcPr>
            <w:tcW w:type="dxa" w:w="2880"/>
            <w:vAlign w:val="center"/>
          </w:tcPr>
          <w:p>
            <w:pPr>
              <w:spacing w:after="0" w:line="216" w:lineRule="auto"/>
            </w:pPr>
            <w:r>
              <w:rPr>
                <w:sz w:val="13"/>
              </w:rPr>
            </w:r>
            <w:r>
              <w:rPr>
                <w:rFonts w:ascii="Aptos" w:hAnsi="Aptos"/>
                <w:b w:val="0"/>
                <w:sz w:val="13"/>
              </w:rPr>
              <w:t>Content readiness</w:t>
            </w:r>
          </w:p>
        </w:tc>
        <w:tc>
          <w:tcPr>
            <w:tcW w:type="dxa" w:w="7272"/>
            <w:vAlign w:val="center"/>
          </w:tcPr>
          <w:p>
            <w:pPr>
              <w:spacing w:after="0" w:line="216" w:lineRule="auto"/>
            </w:pPr>
            <w:r>
              <w:rPr>
                <w:sz w:val="13"/>
              </w:rPr>
            </w:r>
            <w:r>
              <w:rPr>
                <w:rFonts w:ascii="Aptos" w:hAnsi="Aptos"/>
                <w:b w:val="0"/>
                <w:sz w:val="13"/>
              </w:rPr>
              <w:t>Confirm content and localisation capacity without absorbing F04 responsibilities.</w:t>
            </w:r>
          </w:p>
        </w:tc>
      </w:tr>
      <w:tr>
        <w:tc>
          <w:tcPr>
            <w:tcW w:type="dxa" w:w="5227"/>
          </w:tcPr>
          <w:p>
            <w:r>
              <w:rPr>
                <w:sz w:val="13"/>
              </w:rPr>
              <w:t>Upstream capability maturity</w:t>
            </w:r>
          </w:p>
        </w:tc>
        <w:tc>
          <w:tcPr>
            <w:tcW w:type="dxa" w:w="5227"/>
          </w:tcPr>
          <w:p>
            <w:r>
              <w:rPr>
                <w:sz w:val="13"/>
              </w:rPr>
              <w:t>Confirm which F01 to F05 capabilities must be sufficiently mature, evidenced, or bounded before F06 scale assessment can be relied upon.</w:t>
            </w:r>
          </w:p>
        </w:tc>
      </w:tr>
      <w:tr>
        <w:tc>
          <w:tcPr>
            <w:tcW w:type="dxa" w:w="2880"/>
            <w:vAlign w:val="center"/>
          </w:tcPr>
          <w:p>
            <w:pPr>
              <w:spacing w:after="0" w:line="216" w:lineRule="auto"/>
            </w:pPr>
            <w:r>
              <w:rPr>
                <w:sz w:val="13"/>
              </w:rPr>
            </w:r>
            <w:r>
              <w:rPr>
                <w:rFonts w:ascii="Aptos" w:hAnsi="Aptos"/>
                <w:b w:val="0"/>
                <w:sz w:val="13"/>
              </w:rPr>
              <w:t>Cost model</w:t>
            </w:r>
          </w:p>
        </w:tc>
        <w:tc>
          <w:tcPr>
            <w:tcW w:type="dxa" w:w="7272"/>
            <w:vAlign w:val="center"/>
          </w:tcPr>
          <w:p>
            <w:pPr>
              <w:spacing w:after="0" w:line="216" w:lineRule="auto"/>
            </w:pPr>
            <w:r>
              <w:rPr>
                <w:sz w:val="13"/>
              </w:rPr>
            </w:r>
            <w:r>
              <w:rPr>
                <w:rFonts w:ascii="Aptos" w:hAnsi="Aptos"/>
                <w:b w:val="0"/>
                <w:sz w:val="13"/>
              </w:rPr>
              <w:t>Define the main cost drivers, scenarios and assumptions.</w:t>
            </w:r>
          </w:p>
        </w:tc>
      </w:tr>
      <w:tr>
        <w:tc>
          <w:tcPr>
            <w:tcW w:type="dxa" w:w="2880"/>
            <w:vAlign w:val="center"/>
          </w:tcPr>
          <w:p>
            <w:pPr>
              <w:spacing w:after="0" w:line="216" w:lineRule="auto"/>
            </w:pPr>
            <w:r>
              <w:rPr>
                <w:sz w:val="13"/>
              </w:rPr>
            </w:r>
            <w:r>
              <w:rPr>
                <w:rFonts w:ascii="Aptos" w:hAnsi="Aptos"/>
                <w:b w:val="0"/>
                <w:sz w:val="13"/>
              </w:rPr>
              <w:t>Business case</w:t>
            </w:r>
          </w:p>
        </w:tc>
        <w:tc>
          <w:tcPr>
            <w:tcW w:type="dxa" w:w="7272"/>
            <w:vAlign w:val="center"/>
          </w:tcPr>
          <w:p>
            <w:pPr>
              <w:spacing w:after="0" w:line="216" w:lineRule="auto"/>
            </w:pPr>
            <w:r>
              <w:rPr>
                <w:sz w:val="13"/>
              </w:rPr>
            </w:r>
            <w:r>
              <w:rPr>
                <w:rFonts w:ascii="Aptos" w:hAnsi="Aptos"/>
                <w:b w:val="0"/>
                <w:sz w:val="13"/>
              </w:rPr>
              <w:t>Establish the evidence required for a scale investment decision.</w:t>
            </w:r>
          </w:p>
        </w:tc>
      </w:tr>
      <w:tr>
        <w:tc>
          <w:tcPr>
            <w:tcW w:type="dxa" w:w="2880"/>
            <w:vAlign w:val="center"/>
          </w:tcPr>
          <w:p>
            <w:pPr>
              <w:spacing w:after="0" w:line="216" w:lineRule="auto"/>
            </w:pPr>
            <w:r>
              <w:rPr>
                <w:sz w:val="13"/>
              </w:rPr>
            </w:r>
            <w:r>
              <w:rPr>
                <w:rFonts w:ascii="Aptos" w:hAnsi="Aptos"/>
                <w:b w:val="0"/>
                <w:sz w:val="13"/>
              </w:rPr>
              <w:t>Value and priority</w:t>
            </w:r>
          </w:p>
        </w:tc>
        <w:tc>
          <w:tcPr>
            <w:tcW w:type="dxa" w:w="7272"/>
            <w:vAlign w:val="center"/>
          </w:tcPr>
          <w:p>
            <w:pPr>
              <w:spacing w:after="0" w:line="216" w:lineRule="auto"/>
            </w:pPr>
            <w:r>
              <w:rPr>
                <w:sz w:val="13"/>
              </w:rPr>
            </w:r>
            <w:r>
              <w:rPr>
                <w:rFonts w:ascii="Aptos" w:hAnsi="Aptos"/>
                <w:b w:val="0"/>
                <w:sz w:val="13"/>
              </w:rPr>
              <w:t>GreenSphere decides whether wider adoption justifies progression.</w:t>
            </w:r>
          </w:p>
        </w:tc>
      </w:tr>
    </w:tbl>
    <w:p>
      <w:pPr>
        <w:spacing w:after="30" w:line="228" w:lineRule="auto"/>
      </w:pPr>
      <w:r>
        <w:t>The ten gates are intentionally tailored to F06 as a system and business-case capability. They are not copied from F03 safety governance or F04 regional-content governance.</w:t>
      </w:r>
    </w:p>
    <w:p>
      <w:pPr>
        <w:pStyle w:val="Heading1"/>
        <w:spacing w:before="60" w:after="20" w:line="228" w:lineRule="auto"/>
      </w:pPr>
      <w:r>
        <w:t>10. Pass 2 Decision</w:t>
      </w:r>
    </w:p>
    <w:p>
      <w:pPr>
        <w:spacing w:after="30" w:line="228" w:lineRule="auto"/>
      </w:pPr>
      <w:r>
        <w:t>Current decision: EPIC-F06 remains a credible future-state system capability, but it is not ready for Jira translation. Scale scenarios, technical evidence, operating readiness, geographic and content dependencies, cost drivers and the business case remain unresolved.</w:t>
      </w:r>
    </w:p>
    <w:p>
      <w:pPr>
        <w:spacing w:after="30" w:line="228" w:lineRule="auto"/>
      </w:pPr>
      <w:r>
        <w:t>Next controlled step: Resolve the F06 discovery questions before assigning future requirement or story IDs. No Story Points, Bugs, sprint results or delivery claims are created in discovery.</w:t>
      </w:r>
    </w:p>
    <w:sectPr w:rsidR="00FC693F" w:rsidRPr="0006063C" w:rsidSect="00034616">
      <w:footerReference w:type="default" r:id="rId9"/>
      <w:headerReference w:type="default" r:id="rId10"/>
      <w:pgSz w:w="12240" w:h="15840"/>
      <w:pgMar w:top="504" w:right="792" w:bottom="317"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3"/>
      </w:rPr>
      <w:t>Prepared by Doris Frank, Business Analyst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ptos" w:hAnsi="Aptos" w:eastAsia="Aptos"/>
      <w:sz w:val="1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themeColor="text2" w:themeShade="B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