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EcoGrow Future-State Discovery</w:t>
      </w:r>
    </w:p>
    <w:p>
      <w:pPr>
        <w:pStyle w:val="Heading1"/>
      </w:pPr>
      <w:r>
        <w:t>EPIC-F06 Platform Scalability and Global Readiness | Delivery Translation | Pass 3</w:t>
      </w:r>
    </w:p>
    <w:p>
      <w:pPr/>
      <w:r>
        <w:t>Prepared by Doris Frank, Business Analyst</w:t>
      </w:r>
    </w:p>
    <w:p>
      <w:pPr/>
      <w:r>
        <w:t>Status: Controlled future-state translation. This pass preserves discovery constraints, does not amend the locked MVP, and does not authorise Jira creation or built functionality.</w:t>
      </w:r>
    </w:p>
    <w:p>
      <w:pPr>
        <w:pStyle w:val="Heading1"/>
      </w:pPr>
      <w:r>
        <w:t>1. Translation Control</w:t>
      </w:r>
    </w:p>
    <w:tbl>
      <w:tblPr>
        <w:tblStyle w:val="TableGrid"/>
        <w:tblW w:type="auto" w:w="0"/>
        <w:tblLook w:firstColumn="1" w:firstRow="1" w:lastColumn="0" w:lastRow="0" w:noHBand="0" w:noVBand="1" w:val="04A0"/>
      </w:tblPr>
      <w:tblGrid>
        <w:gridCol w:w="5328"/>
        <w:gridCol w:w="5328"/>
      </w:tblGrid>
      <w:tr>
        <w:tc>
          <w:tcPr>
            <w:tcW w:type="dxa" w:w="5328"/>
          </w:tcPr>
          <w:p>
            <w:r>
              <w:t>Dimension</w:t>
            </w:r>
          </w:p>
        </w:tc>
        <w:tc>
          <w:tcPr>
            <w:tcW w:type="dxa" w:w="5328"/>
          </w:tcPr>
          <w:p>
            <w:r>
              <w:t>Current position</w:t>
            </w:r>
          </w:p>
        </w:tc>
      </w:tr>
      <w:tr>
        <w:tc>
          <w:tcPr>
            <w:tcW w:type="dxa" w:w="5328"/>
          </w:tcPr>
          <w:p>
            <w:r>
              <w:t>Future epic</w:t>
            </w:r>
          </w:p>
        </w:tc>
        <w:tc>
          <w:tcPr>
            <w:tcW w:type="dxa" w:w="5328"/>
          </w:tcPr>
          <w:p>
            <w:r>
              <w:t>EPIC-F06 Platform Scalability and Global Readiness</w:t>
            </w:r>
          </w:p>
        </w:tc>
      </w:tr>
      <w:tr>
        <w:tc>
          <w:tcPr>
            <w:tcW w:type="dxa" w:w="5328"/>
          </w:tcPr>
          <w:p>
            <w:r>
              <w:t>Source baseline</w:t>
            </w:r>
          </w:p>
        </w:tc>
        <w:tc>
          <w:tcPr>
            <w:tcW w:type="dxa" w:w="5328"/>
          </w:tcPr>
          <w:p>
            <w:r>
              <w:t>EPIC-F06 Deep Discovery Pass 2 and the revalidated Product Vision and Capability Map</w:t>
            </w:r>
          </w:p>
        </w:tc>
      </w:tr>
      <w:tr>
        <w:tc>
          <w:tcPr>
            <w:tcW w:type="dxa" w:w="5328"/>
          </w:tcPr>
          <w:p>
            <w:r>
              <w:t>Translation posture</w:t>
            </w:r>
          </w:p>
        </w:tc>
        <w:tc>
          <w:tcPr>
            <w:tcW w:type="dxa" w:w="5328"/>
          </w:tcPr>
          <w:p>
            <w:r>
              <w:t>Controlled delivery translation while the ten progression gates remain unresolved.</w:t>
            </w:r>
          </w:p>
        </w:tc>
      </w:tr>
      <w:tr>
        <w:tc>
          <w:tcPr>
            <w:tcW w:type="dxa" w:w="5328"/>
          </w:tcPr>
          <w:p>
            <w:r>
              <w:t>Future requirement IDs</w:t>
            </w:r>
          </w:p>
        </w:tc>
        <w:tc>
          <w:tcPr>
            <w:tcW w:type="dxa" w:w="5328"/>
          </w:tcPr>
          <w:p>
            <w:r>
              <w:t>None assigned.</w:t>
            </w:r>
          </w:p>
        </w:tc>
      </w:tr>
      <w:tr>
        <w:tc>
          <w:tcPr>
            <w:tcW w:type="dxa" w:w="5328"/>
          </w:tcPr>
          <w:p>
            <w:r>
              <w:t>Future story ID</w:t>
            </w:r>
          </w:p>
        </w:tc>
        <w:tc>
          <w:tcPr>
            <w:tcW w:type="dxa" w:w="5328"/>
          </w:tcPr>
          <w:p>
            <w:r>
              <w:t>None assigned.</w:t>
            </w:r>
          </w:p>
        </w:tc>
      </w:tr>
      <w:tr>
        <w:tc>
          <w:tcPr>
            <w:tcW w:type="dxa" w:w="5328"/>
          </w:tcPr>
          <w:p>
            <w:r>
              <w:t>Jira action</w:t>
            </w:r>
          </w:p>
        </w:tc>
        <w:tc>
          <w:tcPr>
            <w:tcW w:type="dxa" w:w="5328"/>
          </w:tcPr>
          <w:p>
            <w:r>
              <w:t>Not approved.</w:t>
            </w:r>
          </w:p>
        </w:tc>
      </w:tr>
      <w:tr>
        <w:tc>
          <w:tcPr>
            <w:tcW w:type="dxa" w:w="5328"/>
          </w:tcPr>
          <w:p>
            <w:r>
              <w:t>Formal acceptance criteria</w:t>
            </w:r>
          </w:p>
        </w:tc>
        <w:tc>
          <w:tcPr>
            <w:tcW w:type="dxa" w:w="5328"/>
          </w:tcPr>
          <w:p>
            <w:r>
              <w:t>Deferred. Acceptance logic remains a framework only.</w:t>
            </w:r>
          </w:p>
        </w:tc>
      </w:tr>
      <w:tr>
        <w:tc>
          <w:tcPr>
            <w:tcW w:type="dxa" w:w="5328"/>
          </w:tcPr>
          <w:p>
            <w:r>
              <w:t>Story Points</w:t>
            </w:r>
          </w:p>
        </w:tc>
        <w:tc>
          <w:tcPr>
            <w:tcW w:type="dxa" w:w="5328"/>
          </w:tcPr>
          <w:p>
            <w:r>
              <w:t>Not assigned.</w:t>
            </w:r>
          </w:p>
        </w:tc>
      </w:tr>
      <w:tr>
        <w:tc>
          <w:tcPr>
            <w:tcW w:type="dxa" w:w="5328"/>
          </w:tcPr>
          <w:p>
            <w:r>
              <w:t>Bugs</w:t>
            </w:r>
          </w:p>
        </w:tc>
        <w:tc>
          <w:tcPr>
            <w:tcW w:type="dxa" w:w="5328"/>
          </w:tcPr>
          <w:p>
            <w:r>
              <w:t>None. No delivery defect exists in discovery.</w:t>
            </w:r>
          </w:p>
        </w:tc>
      </w:tr>
      <w:tr>
        <w:tc>
          <w:tcPr>
            <w:tcW w:type="dxa" w:w="5328"/>
          </w:tcPr>
          <w:p>
            <w:r>
              <w:t>Production or delivery claims</w:t>
            </w:r>
          </w:p>
        </w:tc>
        <w:tc>
          <w:tcPr>
            <w:tcW w:type="dxa" w:w="5328"/>
          </w:tcPr>
          <w:p>
            <w:r>
              <w:t>None.</w:t>
            </w:r>
          </w:p>
        </w:tc>
      </w:tr>
    </w:tbl>
    <w:p>
      <w:pPr>
        <w:pStyle w:val="Heading1"/>
      </w:pPr>
      <w:r>
        <w:t>2. Future-State Delivery Position</w:t>
      </w:r>
    </w:p>
    <w:p>
      <w:pPr/>
      <w:r>
        <w:t>I preserve the Pass 2 decision that F06 is a credible future-state system capability but is not ready for Jira translation. Pass 3 therefore translates the four named feature candidates into a controlled delivery structure without converting unresolved scale, architecture, operations, geographic, content, cost or business-case questions into invented requirements.</w:t>
      </w:r>
    </w:p>
    <w:p>
      <w:pPr/>
      <w:r>
        <w:t>The translation makes the future delivery shape explicit. It does not imply that a final target architecture, service threshold, operating model, geographic rollout, localisation model, cost baseline or investment case has been approved.</w:t>
      </w:r>
    </w:p>
    <w:p>
      <w:pPr>
        <w:pStyle w:val="Heading1"/>
      </w:pPr>
      <w:r>
        <w:t>3. F06 Feature Translation</w:t>
      </w:r>
    </w:p>
    <w:tbl>
      <w:tblPr>
        <w:tblStyle w:val="TableGrid"/>
        <w:tblW w:type="auto" w:w="0"/>
        <w:tblLook w:firstColumn="1" w:firstRow="1" w:lastColumn="0" w:lastRow="0" w:noHBand="0" w:noVBand="1" w:val="04A0"/>
      </w:tblPr>
      <w:tblGrid>
        <w:gridCol w:w="3552"/>
        <w:gridCol w:w="3552"/>
        <w:gridCol w:w="3552"/>
      </w:tblGrid>
      <w:tr>
        <w:tc>
          <w:tcPr>
            <w:tcW w:type="dxa" w:w="3552"/>
          </w:tcPr>
          <w:p>
            <w:r>
              <w:t>Feature</w:t>
            </w:r>
          </w:p>
        </w:tc>
        <w:tc>
          <w:tcPr>
            <w:tcW w:type="dxa" w:w="3552"/>
          </w:tcPr>
          <w:p>
            <w:r>
              <w:t>Delivery translation</w:t>
            </w:r>
          </w:p>
        </w:tc>
        <w:tc>
          <w:tcPr>
            <w:tcW w:type="dxa" w:w="3552"/>
          </w:tcPr>
          <w:p>
            <w:r>
              <w:t>Boundary</w:t>
            </w:r>
          </w:p>
        </w:tc>
      </w:tr>
      <w:tr>
        <w:tc>
          <w:tcPr>
            <w:tcW w:type="dxa" w:w="3552"/>
          </w:tcPr>
          <w:p>
            <w:r>
              <w:t>F06.1 Technical Scalability</w:t>
            </w:r>
          </w:p>
        </w:tc>
        <w:tc>
          <w:tcPr>
            <w:tcW w:type="dxa" w:w="3552"/>
          </w:tcPr>
          <w:p>
            <w:r>
              <w:t>Define a future capability for assessing capacity, performance, integration and resilience against validated adoption scenarios.</w:t>
            </w:r>
          </w:p>
        </w:tc>
        <w:tc>
          <w:tcPr>
            <w:tcW w:type="dxa" w:w="3552"/>
          </w:tcPr>
          <w:p>
            <w:r>
              <w:t>Do not assume a final architecture, traffic target, service threshold or infrastructure pattern.</w:t>
            </w:r>
          </w:p>
        </w:tc>
      </w:tr>
      <w:tr>
        <w:tc>
          <w:tcPr>
            <w:tcW w:type="dxa" w:w="3552"/>
          </w:tcPr>
          <w:p>
            <w:r>
              <w:t>F06.2 Operational Readiness</w:t>
            </w:r>
          </w:p>
        </w:tc>
        <w:tc>
          <w:tcPr>
            <w:tcW w:type="dxa" w:w="3552"/>
          </w:tcPr>
          <w:p>
            <w:r>
              <w:t>Define the future operating conditions for support, monitoring, incident response, ownership and service continuity.</w:t>
            </w:r>
          </w:p>
        </w:tc>
        <w:tc>
          <w:tcPr>
            <w:tcW w:type="dxa" w:w="3552"/>
          </w:tcPr>
          <w:p>
            <w:r>
              <w:t>Do not assume an approved operating model, support commitment or service-level target.</w:t>
            </w:r>
          </w:p>
        </w:tc>
      </w:tr>
      <w:tr>
        <w:tc>
          <w:tcPr>
            <w:tcW w:type="dxa" w:w="3552"/>
          </w:tcPr>
          <w:p>
            <w:r>
              <w:t>F06.3 Geographic and Content Readiness</w:t>
            </w:r>
          </w:p>
        </w:tc>
        <w:tc>
          <w:tcPr>
            <w:tcW w:type="dxa" w:w="3552"/>
          </w:tcPr>
          <w:p>
            <w:r>
              <w:t>Define how geographic scope, localisation support, content operations and regional readiness would be assessed for expansion.</w:t>
            </w:r>
          </w:p>
        </w:tc>
        <w:tc>
          <w:tcPr>
            <w:tcW w:type="dxa" w:w="3552"/>
          </w:tcPr>
          <w:p>
            <w:r>
              <w:t>F04 remains the plant-knowledge and localisation capability. F06 does not absorb F04 responsibilities.</w:t>
            </w:r>
          </w:p>
        </w:tc>
      </w:tr>
      <w:tr>
        <w:tc>
          <w:tcPr>
            <w:tcW w:type="dxa" w:w="3552"/>
          </w:tcPr>
          <w:p>
            <w:r>
              <w:t>F06.4 Cost and Business Case</w:t>
            </w:r>
          </w:p>
        </w:tc>
        <w:tc>
          <w:tcPr>
            <w:tcW w:type="dxa" w:w="3552"/>
          </w:tcPr>
          <w:p>
            <w:r>
              <w:t>Define the evidence model for usage scenarios, cost drivers, investment assumptions and scale decisions.</w:t>
            </w:r>
          </w:p>
        </w:tc>
        <w:tc>
          <w:tcPr>
            <w:tcW w:type="dxa" w:w="3552"/>
          </w:tcPr>
          <w:p>
            <w:r>
              <w:t>Do not assert ROI, financial benefit or market expansion without evidence.</w:t>
            </w:r>
          </w:p>
        </w:tc>
      </w:tr>
    </w:tbl>
    <w:p>
      <w:pPr/>
      <w:r>
        <w:t>Cross-epic boundaries remain unchanged. F01 owns plant-specific care and watering. F02 owns weather-aware context. F03 owns plant-health identification and treatment. F04 owns regional plant intelligence. F05 owns personalisation. F06 owns broader platform scalability and global readiness.</w:t>
      </w:r>
    </w:p>
    <w:p>
      <w:pPr>
        <w:pStyle w:val="Heading1"/>
      </w:pPr>
      <w:r>
        <w:t>4. Candidate Requirement Translation</w:t>
      </w:r>
    </w:p>
    <w:p>
      <w:pPr/>
      <w:r>
        <w:t>The Pass 2 requirement directions are translated as delivery-shaped candidates only. No future requirement ID is created because scale scenarios, technical evidence, operating conditions, geographic scope, cost drivers and business-case evidence remain unresolved.</w:t>
      </w:r>
    </w:p>
    <w:p>
      <w:pPr/>
      <w:r>
        <w:t>Candidate requirement direction: EcoGrow may support wider adoption through an evidenced technical, operational and integration capacity model.</w:t>
      </w:r>
    </w:p>
    <w:p>
      <w:pPr/>
      <w:r>
        <w:t>Candidate requirement direction: EcoGrow may assess geographic, content and cost readiness before committing to broader expansion.</w:t>
      </w:r>
    </w:p>
    <w:p>
      <w:pPr/>
      <w:r>
        <w:t>Current delivery state: Candidate only. Formal requirement wording, traceability IDs, measurable acceptance criteria and prioritisation remain deferred.</w:t>
      </w:r>
    </w:p>
    <w:p>
      <w:pPr>
        <w:pStyle w:val="Heading1"/>
      </w:pPr>
      <w:r>
        <w:t>5. Candidate Story Translation</w:t>
      </w:r>
    </w:p>
    <w:p>
      <w:pPr/>
      <w:r>
        <w:t>Candidate story direction carried forward from Pass 2:</w:t>
      </w:r>
    </w:p>
    <w:p>
      <w:pPr/>
      <w:r>
        <w:t>As a product owner, I want to understand whether EcoGrow can scale sustainably across usage, geography, content and operating needs so that expansion decisions are evidence-based.</w:t>
      </w:r>
    </w:p>
    <w:p>
      <w:pPr/>
      <w:r>
        <w:t>This remains a discovery candidate with no future story ID. I do not convert it into a Jira story because the scale evidence, upstream capability maturity, operating model, cost model and business case remain open.</w:t>
      </w:r>
    </w:p>
    <w:p>
      <w:pPr>
        <w:pStyle w:val="Heading1"/>
      </w:pPr>
      <w:r>
        <w:t>6. Story Boundary and Acceptance Logic</w:t>
      </w:r>
    </w:p>
    <w:tbl>
      <w:tblPr>
        <w:tblStyle w:val="TableGrid"/>
        <w:tblW w:type="auto" w:w="0"/>
        <w:tblLook w:firstColumn="1" w:firstRow="1" w:lastColumn="0" w:lastRow="0" w:noHBand="0" w:noVBand="1" w:val="04A0"/>
      </w:tblPr>
      <w:tblGrid>
        <w:gridCol w:w="3552"/>
        <w:gridCol w:w="3552"/>
        <w:gridCol w:w="3552"/>
      </w:tblGrid>
      <w:tr>
        <w:tc>
          <w:tcPr>
            <w:tcW w:type="dxa" w:w="3552"/>
          </w:tcPr>
          <w:p>
            <w:r>
              <w:t>Acceptance area</w:t>
            </w:r>
          </w:p>
        </w:tc>
        <w:tc>
          <w:tcPr>
            <w:tcW w:type="dxa" w:w="3552"/>
          </w:tcPr>
          <w:p>
            <w:r>
              <w:t>Delivery translation</w:t>
            </w:r>
          </w:p>
        </w:tc>
        <w:tc>
          <w:tcPr>
            <w:tcW w:type="dxa" w:w="3552"/>
          </w:tcPr>
          <w:p>
            <w:r>
              <w:t>Gate</w:t>
            </w:r>
          </w:p>
        </w:tc>
      </w:tr>
      <w:tr>
        <w:tc>
          <w:tcPr>
            <w:tcW w:type="dxa" w:w="3552"/>
          </w:tcPr>
          <w:p>
            <w:r>
              <w:t>Scale problem</w:t>
            </w:r>
          </w:p>
        </w:tc>
        <w:tc>
          <w:tcPr>
            <w:tcW w:type="dxa" w:w="3552"/>
          </w:tcPr>
          <w:p>
            <w:r>
              <w:t>The delivered capability must address a validated expansion problem and credible adoption scenario.</w:t>
            </w:r>
          </w:p>
        </w:tc>
        <w:tc>
          <w:tcPr>
            <w:tcW w:type="dxa" w:w="3552"/>
          </w:tcPr>
          <w:p>
            <w:r>
              <w:t>Problem and adoption validation</w:t>
            </w:r>
          </w:p>
        </w:tc>
      </w:tr>
      <w:tr>
        <w:tc>
          <w:tcPr>
            <w:tcW w:type="dxa" w:w="3552"/>
          </w:tcPr>
          <w:p>
            <w:r>
              <w:t>Scale evidence</w:t>
            </w:r>
          </w:p>
        </w:tc>
        <w:tc>
          <w:tcPr>
            <w:tcW w:type="dxa" w:w="3552"/>
          </w:tcPr>
          <w:p>
            <w:r>
              <w:t>Capacity, performance and reliability claims must be supported by defined evidence.</w:t>
            </w:r>
          </w:p>
        </w:tc>
        <w:tc>
          <w:tcPr>
            <w:tcW w:type="dxa" w:w="3552"/>
          </w:tcPr>
          <w:p>
            <w:r>
              <w:t>Scale evidence</w:t>
            </w:r>
          </w:p>
        </w:tc>
      </w:tr>
      <w:tr>
        <w:tc>
          <w:tcPr>
            <w:tcW w:type="dxa" w:w="3552"/>
          </w:tcPr>
          <w:p>
            <w:r>
              <w:t>Architecture and integration</w:t>
            </w:r>
          </w:p>
        </w:tc>
        <w:tc>
          <w:tcPr>
            <w:tcW w:type="dxa" w:w="3552"/>
          </w:tcPr>
          <w:p>
            <w:r>
              <w:t>Material platform and external-service dependencies must be understood before commitment.</w:t>
            </w:r>
          </w:p>
        </w:tc>
        <w:tc>
          <w:tcPr>
            <w:tcW w:type="dxa" w:w="3552"/>
          </w:tcPr>
          <w:p>
            <w:r>
              <w:t>Architecture and integration</w:t>
            </w:r>
          </w:p>
        </w:tc>
      </w:tr>
      <w:tr>
        <w:tc>
          <w:tcPr>
            <w:tcW w:type="dxa" w:w="3552"/>
          </w:tcPr>
          <w:p>
            <w:r>
              <w:t>Operations</w:t>
            </w:r>
          </w:p>
        </w:tc>
        <w:tc>
          <w:tcPr>
            <w:tcW w:type="dxa" w:w="3552"/>
          </w:tcPr>
          <w:p>
            <w:r>
              <w:t>Ownership, monitoring, support, incident response and continuity expectations must be defined.</w:t>
            </w:r>
          </w:p>
        </w:tc>
        <w:tc>
          <w:tcPr>
            <w:tcW w:type="dxa" w:w="3552"/>
          </w:tcPr>
          <w:p>
            <w:r>
              <w:t>Operational readiness</w:t>
            </w:r>
          </w:p>
        </w:tc>
      </w:tr>
      <w:tr>
        <w:tc>
          <w:tcPr>
            <w:tcW w:type="dxa" w:w="3552"/>
          </w:tcPr>
          <w:p>
            <w:r>
              <w:t>Geographic readiness</w:t>
            </w:r>
          </w:p>
        </w:tc>
        <w:tc>
          <w:tcPr>
            <w:tcW w:type="dxa" w:w="3552"/>
          </w:tcPr>
          <w:p>
            <w:r>
              <w:t>Initial geographic scope and regional operating constraints must be defined.</w:t>
            </w:r>
          </w:p>
        </w:tc>
        <w:tc>
          <w:tcPr>
            <w:tcW w:type="dxa" w:w="3552"/>
          </w:tcPr>
          <w:p>
            <w:r>
              <w:t>Geographic readiness</w:t>
            </w:r>
          </w:p>
        </w:tc>
      </w:tr>
      <w:tr>
        <w:tc>
          <w:tcPr>
            <w:tcW w:type="dxa" w:w="3552"/>
          </w:tcPr>
          <w:p>
            <w:r>
              <w:t>Content readiness</w:t>
            </w:r>
          </w:p>
        </w:tc>
        <w:tc>
          <w:tcPr>
            <w:tcW w:type="dxa" w:w="3552"/>
          </w:tcPr>
          <w:p>
            <w:r>
              <w:t>Content and localisation capacity must be sufficient without absorbing F04 responsibilities.</w:t>
            </w:r>
          </w:p>
        </w:tc>
        <w:tc>
          <w:tcPr>
            <w:tcW w:type="dxa" w:w="3552"/>
          </w:tcPr>
          <w:p>
            <w:r>
              <w:t>Content readiness</w:t>
            </w:r>
          </w:p>
        </w:tc>
      </w:tr>
      <w:tr>
        <w:tc>
          <w:tcPr>
            <w:tcW w:type="dxa" w:w="3552"/>
          </w:tcPr>
          <w:p>
            <w:r>
              <w:t>Upstream capability maturity</w:t>
            </w:r>
          </w:p>
        </w:tc>
        <w:tc>
          <w:tcPr>
            <w:tcW w:type="dxa" w:w="3552"/>
          </w:tcPr>
          <w:p>
            <w:r>
              <w:t>Required F01 to F05 capabilities must be sufficiently mature, evidenced, or bounded before F06 scale assessment is relied upon.</w:t>
            </w:r>
          </w:p>
        </w:tc>
        <w:tc>
          <w:tcPr>
            <w:tcW w:type="dxa" w:w="3552"/>
          </w:tcPr>
          <w:p>
            <w:r>
              <w:t>Upstream capability maturity</w:t>
            </w:r>
          </w:p>
        </w:tc>
      </w:tr>
      <w:tr>
        <w:tc>
          <w:tcPr>
            <w:tcW w:type="dxa" w:w="3552"/>
          </w:tcPr>
          <w:p>
            <w:r>
              <w:t>Cost model</w:t>
            </w:r>
          </w:p>
        </w:tc>
        <w:tc>
          <w:tcPr>
            <w:tcW w:type="dxa" w:w="3552"/>
          </w:tcPr>
          <w:p>
            <w:r>
              <w:t>Cost drivers, scale scenarios and assumptions must be explicit enough for decision-making.</w:t>
            </w:r>
          </w:p>
        </w:tc>
        <w:tc>
          <w:tcPr>
            <w:tcW w:type="dxa" w:w="3552"/>
          </w:tcPr>
          <w:p>
            <w:r>
              <w:t>Cost model</w:t>
            </w:r>
          </w:p>
        </w:tc>
      </w:tr>
      <w:tr>
        <w:tc>
          <w:tcPr>
            <w:tcW w:type="dxa" w:w="3552"/>
          </w:tcPr>
          <w:p>
            <w:r>
              <w:t>Business case</w:t>
            </w:r>
          </w:p>
        </w:tc>
        <w:tc>
          <w:tcPr>
            <w:tcW w:type="dxa" w:w="3552"/>
          </w:tcPr>
          <w:p>
            <w:r>
              <w:t>Evidence must support a scale investment decision.</w:t>
            </w:r>
          </w:p>
        </w:tc>
        <w:tc>
          <w:tcPr>
            <w:tcW w:type="dxa" w:w="3552"/>
          </w:tcPr>
          <w:p>
            <w:r>
              <w:t>Business case</w:t>
            </w:r>
          </w:p>
        </w:tc>
      </w:tr>
      <w:tr>
        <w:tc>
          <w:tcPr>
            <w:tcW w:type="dxa" w:w="3552"/>
          </w:tcPr>
          <w:p>
            <w:r>
              <w:t>Acceptance criteria</w:t>
            </w:r>
          </w:p>
        </w:tc>
        <w:tc>
          <w:tcPr>
            <w:tcW w:type="dxa" w:w="3552"/>
          </w:tcPr>
          <w:p>
            <w:r>
              <w:t>Formal testable criteria are written only after the progression bar is sufficiently resolved.</w:t>
            </w:r>
          </w:p>
        </w:tc>
        <w:tc>
          <w:tcPr>
            <w:tcW w:type="dxa" w:w="3552"/>
          </w:tcPr>
          <w:p>
            <w:r>
              <w:t>Acceptance logic within Value and priority</w:t>
            </w:r>
          </w:p>
        </w:tc>
      </w:tr>
    </w:tbl>
    <w:p>
      <w:pPr/>
      <w:r>
        <w:t>Formal Gherkin-style acceptance criteria are intentionally deferred. Writing them now would turn unresolved scale, cost, governance and business-case decisions into invented delivery commitments.</w:t>
      </w:r>
    </w:p>
    <w:p>
      <w:pPr>
        <w:pStyle w:val="Heading1"/>
      </w:pPr>
      <w:r>
        <w:t>7. Non-Functional Requirement Translation</w:t>
      </w:r>
    </w:p>
    <w:p>
      <w:pPr/>
      <w:r>
        <w:t>I carry forward the Pass 2 quality themes without creating NFR IDs. The themes below are future-ready constraints, not approved production thresholds.</w:t>
      </w:r>
    </w:p>
    <w:tbl>
      <w:tblPr>
        <w:tblStyle w:val="TableGrid"/>
        <w:tblW w:type="auto" w:w="0"/>
        <w:tblLook w:firstColumn="1" w:firstRow="1" w:lastColumn="0" w:lastRow="0" w:noHBand="0" w:noVBand="1" w:val="04A0"/>
      </w:tblPr>
      <w:tblGrid>
        <w:gridCol w:w="3552"/>
        <w:gridCol w:w="3552"/>
        <w:gridCol w:w="3552"/>
      </w:tblGrid>
      <w:tr>
        <w:tc>
          <w:tcPr>
            <w:tcW w:type="dxa" w:w="3552"/>
          </w:tcPr>
          <w:p>
            <w:r>
              <w:t>NFR theme</w:t>
            </w:r>
          </w:p>
        </w:tc>
        <w:tc>
          <w:tcPr>
            <w:tcW w:type="dxa" w:w="3552"/>
          </w:tcPr>
          <w:p>
            <w:r>
              <w:t>Translation for future delivery</w:t>
            </w:r>
          </w:p>
        </w:tc>
        <w:tc>
          <w:tcPr>
            <w:tcW w:type="dxa" w:w="3552"/>
          </w:tcPr>
          <w:p>
            <w:r>
              <w:t>Current state</w:t>
            </w:r>
          </w:p>
        </w:tc>
      </w:tr>
      <w:tr>
        <w:tc>
          <w:tcPr>
            <w:tcW w:type="dxa" w:w="3552"/>
          </w:tcPr>
          <w:p>
            <w:r>
              <w:t>Scalability</w:t>
            </w:r>
          </w:p>
        </w:tc>
        <w:tc>
          <w:tcPr>
            <w:tcW w:type="dxa" w:w="3552"/>
          </w:tcPr>
          <w:p>
            <w:r>
              <w:t>Capacity must support validated adoption scenarios.</w:t>
            </w:r>
          </w:p>
        </w:tc>
        <w:tc>
          <w:tcPr>
            <w:tcW w:type="dxa" w:w="3552"/>
          </w:tcPr>
          <w:p>
            <w:r>
              <w:t>Gate</w:t>
            </w:r>
          </w:p>
        </w:tc>
      </w:tr>
      <w:tr>
        <w:tc>
          <w:tcPr>
            <w:tcW w:type="dxa" w:w="3552"/>
          </w:tcPr>
          <w:p>
            <w:r>
              <w:t>Performance</w:t>
            </w:r>
          </w:p>
        </w:tc>
        <w:tc>
          <w:tcPr>
            <w:tcW w:type="dxa" w:w="3552"/>
          </w:tcPr>
          <w:p>
            <w:r>
              <w:t>Response behaviour must remain within agreed service expectations once defined.</w:t>
            </w:r>
          </w:p>
        </w:tc>
        <w:tc>
          <w:tcPr>
            <w:tcW w:type="dxa" w:w="3552"/>
          </w:tcPr>
          <w:p>
            <w:r>
              <w:t>Gate</w:t>
            </w:r>
          </w:p>
        </w:tc>
      </w:tr>
      <w:tr>
        <w:tc>
          <w:tcPr>
            <w:tcW w:type="dxa" w:w="3552"/>
          </w:tcPr>
          <w:p>
            <w:r>
              <w:t>Availability and resilience</w:t>
            </w:r>
          </w:p>
        </w:tc>
        <w:tc>
          <w:tcPr>
            <w:tcW w:type="dxa" w:w="3552"/>
          </w:tcPr>
          <w:p>
            <w:r>
              <w:t>Wider adoption requires defined continuity, fallback and recovery expectations.</w:t>
            </w:r>
          </w:p>
        </w:tc>
        <w:tc>
          <w:tcPr>
            <w:tcW w:type="dxa" w:w="3552"/>
          </w:tcPr>
          <w:p>
            <w:r>
              <w:t>Gate</w:t>
            </w:r>
          </w:p>
        </w:tc>
      </w:tr>
      <w:tr>
        <w:tc>
          <w:tcPr>
            <w:tcW w:type="dxa" w:w="3552"/>
          </w:tcPr>
          <w:p>
            <w:r>
              <w:t>Observability</w:t>
            </w:r>
          </w:p>
        </w:tc>
        <w:tc>
          <w:tcPr>
            <w:tcW w:type="dxa" w:w="3552"/>
          </w:tcPr>
          <w:p>
            <w:r>
              <w:t>Scale constraints and service health must be measurable.</w:t>
            </w:r>
          </w:p>
        </w:tc>
        <w:tc>
          <w:tcPr>
            <w:tcW w:type="dxa" w:w="3552"/>
          </w:tcPr>
          <w:p>
            <w:r>
              <w:t>Discovery theme</w:t>
            </w:r>
          </w:p>
        </w:tc>
      </w:tr>
      <w:tr>
        <w:tc>
          <w:tcPr>
            <w:tcW w:type="dxa" w:w="3552"/>
          </w:tcPr>
          <w:p>
            <w:r>
              <w:t>Security</w:t>
            </w:r>
          </w:p>
        </w:tc>
        <w:tc>
          <w:tcPr>
            <w:tcW w:type="dxa" w:w="3552"/>
          </w:tcPr>
          <w:p>
            <w:r>
              <w:t>Growth increases the importance of controlled access and integration security.</w:t>
            </w:r>
          </w:p>
        </w:tc>
        <w:tc>
          <w:tcPr>
            <w:tcW w:type="dxa" w:w="3552"/>
          </w:tcPr>
          <w:p>
            <w:r>
              <w:t>Discovery theme</w:t>
            </w:r>
          </w:p>
        </w:tc>
      </w:tr>
      <w:tr>
        <w:tc>
          <w:tcPr>
            <w:tcW w:type="dxa" w:w="3552"/>
          </w:tcPr>
          <w:p>
            <w:r>
              <w:t>Maintainability</w:t>
            </w:r>
          </w:p>
        </w:tc>
        <w:tc>
          <w:tcPr>
            <w:tcW w:type="dxa" w:w="3552"/>
          </w:tcPr>
          <w:p>
            <w:r>
              <w:t>Technical and operational changes should remain supportable as scope grows.</w:t>
            </w:r>
          </w:p>
        </w:tc>
        <w:tc>
          <w:tcPr>
            <w:tcW w:type="dxa" w:w="3552"/>
          </w:tcPr>
          <w:p>
            <w:r>
              <w:t>Discovery theme</w:t>
            </w:r>
          </w:p>
        </w:tc>
      </w:tr>
      <w:tr>
        <w:tc>
          <w:tcPr>
            <w:tcW w:type="dxa" w:w="3552"/>
          </w:tcPr>
          <w:p>
            <w:r>
              <w:t>Cost efficiency</w:t>
            </w:r>
          </w:p>
        </w:tc>
        <w:tc>
          <w:tcPr>
            <w:tcW w:type="dxa" w:w="3552"/>
          </w:tcPr>
          <w:p>
            <w:r>
              <w:t>Scale assumptions should remain economically understandable and controllable.</w:t>
            </w:r>
          </w:p>
        </w:tc>
        <w:tc>
          <w:tcPr>
            <w:tcW w:type="dxa" w:w="3552"/>
          </w:tcPr>
          <w:p>
            <w:r>
              <w:t>Gate</w:t>
            </w:r>
          </w:p>
        </w:tc>
      </w:tr>
      <w:tr>
        <w:tc>
          <w:tcPr>
            <w:tcW w:type="dxa" w:w="3552"/>
          </w:tcPr>
          <w:p>
            <w:r>
              <w:t>Global readiness</w:t>
            </w:r>
          </w:p>
        </w:tc>
        <w:tc>
          <w:tcPr>
            <w:tcW w:type="dxa" w:w="3552"/>
          </w:tcPr>
          <w:p>
            <w:r>
              <w:t>Geographic expansion requires defined operational and content support conditions.</w:t>
            </w:r>
          </w:p>
        </w:tc>
        <w:tc>
          <w:tcPr>
            <w:tcW w:type="dxa" w:w="3552"/>
          </w:tcPr>
          <w:p>
            <w:r>
              <w:t>Gate</w:t>
            </w:r>
          </w:p>
        </w:tc>
      </w:tr>
    </w:tbl>
    <w:p>
      <w:pPr>
        <w:pStyle w:val="Heading1"/>
      </w:pPr>
      <w:r>
        <w:t>8. Scale, Integration and Cost Translation</w:t>
      </w:r>
    </w:p>
    <w:tbl>
      <w:tblPr>
        <w:tblStyle w:val="TableGrid"/>
        <w:tblW w:type="auto" w:w="0"/>
        <w:tblLook w:firstColumn="1" w:firstRow="1" w:lastColumn="0" w:lastRow="0" w:noHBand="0" w:noVBand="1" w:val="04A0"/>
      </w:tblPr>
      <w:tblGrid>
        <w:gridCol w:w="3552"/>
        <w:gridCol w:w="3552"/>
        <w:gridCol w:w="3552"/>
      </w:tblGrid>
      <w:tr>
        <w:tc>
          <w:tcPr>
            <w:tcW w:type="dxa" w:w="3552"/>
          </w:tcPr>
          <w:p>
            <w:r>
              <w:t>Area</w:t>
            </w:r>
          </w:p>
        </w:tc>
        <w:tc>
          <w:tcPr>
            <w:tcW w:type="dxa" w:w="3552"/>
          </w:tcPr>
          <w:p>
            <w:r>
              <w:t>Translation</w:t>
            </w:r>
          </w:p>
        </w:tc>
        <w:tc>
          <w:tcPr>
            <w:tcW w:type="dxa" w:w="3552"/>
          </w:tcPr>
          <w:p>
            <w:r>
              <w:t>Current decision</w:t>
            </w:r>
          </w:p>
        </w:tc>
      </w:tr>
      <w:tr>
        <w:tc>
          <w:tcPr>
            <w:tcW w:type="dxa" w:w="3552"/>
          </w:tcPr>
          <w:p>
            <w:r>
              <w:t>Platform capacity</w:t>
            </w:r>
          </w:p>
        </w:tc>
        <w:tc>
          <w:tcPr>
            <w:tcW w:type="dxa" w:w="3552"/>
          </w:tcPr>
          <w:p>
            <w:r>
              <w:t>Define capacity indicators for traffic, data storage, API use and service load.</w:t>
            </w:r>
          </w:p>
        </w:tc>
        <w:tc>
          <w:tcPr>
            <w:tcW w:type="dxa" w:w="3552"/>
          </w:tcPr>
          <w:p>
            <w:r>
              <w:t>Open</w:t>
            </w:r>
          </w:p>
        </w:tc>
      </w:tr>
      <w:tr>
        <w:tc>
          <w:tcPr>
            <w:tcW w:type="dxa" w:w="3552"/>
          </w:tcPr>
          <w:p>
            <w:r>
              <w:t>External integrations</w:t>
            </w:r>
          </w:p>
        </w:tc>
        <w:tc>
          <w:tcPr>
            <w:tcW w:type="dxa" w:w="3552"/>
          </w:tcPr>
          <w:p>
            <w:r>
              <w:t>Identify APIs and external services that create scale, reliability or cost dependency.</w:t>
            </w:r>
          </w:p>
        </w:tc>
        <w:tc>
          <w:tcPr>
            <w:tcW w:type="dxa" w:w="3552"/>
          </w:tcPr>
          <w:p>
            <w:r>
              <w:t>Open</w:t>
            </w:r>
          </w:p>
        </w:tc>
      </w:tr>
      <w:tr>
        <w:tc>
          <w:tcPr>
            <w:tcW w:type="dxa" w:w="3552"/>
          </w:tcPr>
          <w:p>
            <w:r>
              <w:t>Data and storage</w:t>
            </w:r>
          </w:p>
        </w:tc>
        <w:tc>
          <w:tcPr>
            <w:tcW w:type="dxa" w:w="3552"/>
          </w:tcPr>
          <w:p>
            <w:r>
              <w:t>Define growth and retention patterns that materially affect cost or performance.</w:t>
            </w:r>
          </w:p>
        </w:tc>
        <w:tc>
          <w:tcPr>
            <w:tcW w:type="dxa" w:w="3552"/>
          </w:tcPr>
          <w:p>
            <w:r>
              <w:t>Open</w:t>
            </w:r>
          </w:p>
        </w:tc>
      </w:tr>
      <w:tr>
        <w:tc>
          <w:tcPr>
            <w:tcW w:type="dxa" w:w="3552"/>
          </w:tcPr>
          <w:p>
            <w:r>
              <w:t>Observability</w:t>
            </w:r>
          </w:p>
        </w:tc>
        <w:tc>
          <w:tcPr>
            <w:tcW w:type="dxa" w:w="3552"/>
          </w:tcPr>
          <w:p>
            <w:r>
              <w:t>Define measures needed to identify scale constraints and service health.</w:t>
            </w:r>
          </w:p>
        </w:tc>
        <w:tc>
          <w:tcPr>
            <w:tcW w:type="dxa" w:w="3552"/>
          </w:tcPr>
          <w:p>
            <w:r>
              <w:t>Open</w:t>
            </w:r>
          </w:p>
        </w:tc>
      </w:tr>
      <w:tr>
        <w:tc>
          <w:tcPr>
            <w:tcW w:type="dxa" w:w="3552"/>
          </w:tcPr>
          <w:p>
            <w:r>
              <w:t>Operational support</w:t>
            </w:r>
          </w:p>
        </w:tc>
        <w:tc>
          <w:tcPr>
            <w:tcW w:type="dxa" w:w="3552"/>
          </w:tcPr>
          <w:p>
            <w:r>
              <w:t>Define the operating support model required for broader adoption.</w:t>
            </w:r>
          </w:p>
        </w:tc>
        <w:tc>
          <w:tcPr>
            <w:tcW w:type="dxa" w:w="3552"/>
          </w:tcPr>
          <w:p>
            <w:r>
              <w:t>Open</w:t>
            </w:r>
          </w:p>
        </w:tc>
      </w:tr>
      <w:tr>
        <w:tc>
          <w:tcPr>
            <w:tcW w:type="dxa" w:w="3552"/>
          </w:tcPr>
          <w:p>
            <w:r>
              <w:t>Geographic infrastructure</w:t>
            </w:r>
          </w:p>
        </w:tc>
        <w:tc>
          <w:tcPr>
            <w:tcW w:type="dxa" w:w="3552"/>
          </w:tcPr>
          <w:p>
            <w:r>
              <w:t>Define regional infrastructure, time-zone and market constraints.</w:t>
            </w:r>
          </w:p>
        </w:tc>
        <w:tc>
          <w:tcPr>
            <w:tcW w:type="dxa" w:w="3552"/>
          </w:tcPr>
          <w:p>
            <w:r>
              <w:t>Open</w:t>
            </w:r>
          </w:p>
        </w:tc>
      </w:tr>
      <w:tr>
        <w:tc>
          <w:tcPr>
            <w:tcW w:type="dxa" w:w="3552"/>
          </w:tcPr>
          <w:p>
            <w:r>
              <w:t>Content operations</w:t>
            </w:r>
          </w:p>
        </w:tc>
        <w:tc>
          <w:tcPr>
            <w:tcW w:type="dxa" w:w="3552"/>
          </w:tcPr>
          <w:p>
            <w:r>
              <w:t>Define localisation and content-review capacity without moving F04 capability ownership.</w:t>
            </w:r>
          </w:p>
        </w:tc>
        <w:tc>
          <w:tcPr>
            <w:tcW w:type="dxa" w:w="3552"/>
          </w:tcPr>
          <w:p>
            <w:r>
              <w:t>Cross-epic dependency</w:t>
            </w:r>
          </w:p>
        </w:tc>
      </w:tr>
      <w:tr>
        <w:tc>
          <w:tcPr>
            <w:tcW w:type="dxa" w:w="3552"/>
          </w:tcPr>
          <w:p>
            <w:r>
              <w:t>Cost model</w:t>
            </w:r>
          </w:p>
        </w:tc>
        <w:tc>
          <w:tcPr>
            <w:tcW w:type="dxa" w:w="3552"/>
          </w:tcPr>
          <w:p>
            <w:r>
              <w:t>Define cost drivers, scenarios and assumptions for scale.</w:t>
            </w:r>
          </w:p>
        </w:tc>
        <w:tc>
          <w:tcPr>
            <w:tcW w:type="dxa" w:w="3552"/>
          </w:tcPr>
          <w:p>
            <w:r>
              <w:t>Open</w:t>
            </w:r>
          </w:p>
        </w:tc>
      </w:tr>
      <w:tr>
        <w:tc>
          <w:tcPr>
            <w:tcW w:type="dxa" w:w="3552"/>
          </w:tcPr>
          <w:p>
            <w:r>
              <w:t>Business case</w:t>
            </w:r>
          </w:p>
        </w:tc>
        <w:tc>
          <w:tcPr>
            <w:tcW w:type="dxa" w:w="3552"/>
          </w:tcPr>
          <w:p>
            <w:r>
              <w:t>Define scenarios and evidence required to justify scale investment.</w:t>
            </w:r>
          </w:p>
        </w:tc>
        <w:tc>
          <w:tcPr>
            <w:tcW w:type="dxa" w:w="3552"/>
          </w:tcPr>
          <w:p>
            <w:r>
              <w:t>Open</w:t>
            </w:r>
          </w:p>
        </w:tc>
      </w:tr>
    </w:tbl>
    <w:p>
      <w:pPr>
        <w:pStyle w:val="Heading1"/>
      </w:pPr>
      <w:r>
        <w:t>9. Governance and Dependency Translation</w:t>
      </w:r>
    </w:p>
    <w:tbl>
      <w:tblPr>
        <w:tblStyle w:val="TableGrid"/>
        <w:tblW w:type="auto" w:w="0"/>
        <w:tblLook w:firstColumn="1" w:firstRow="1" w:lastColumn="0" w:lastRow="0" w:noHBand="0" w:noVBand="1" w:val="04A0"/>
      </w:tblPr>
      <w:tblGrid>
        <w:gridCol w:w="3552"/>
        <w:gridCol w:w="3552"/>
        <w:gridCol w:w="3552"/>
      </w:tblGrid>
      <w:tr>
        <w:tc>
          <w:tcPr>
            <w:tcW w:type="dxa" w:w="3552"/>
          </w:tcPr>
          <w:p>
            <w:r>
              <w:t>Role / dependency</w:t>
            </w:r>
          </w:p>
        </w:tc>
        <w:tc>
          <w:tcPr>
            <w:tcW w:type="dxa" w:w="3552"/>
          </w:tcPr>
          <w:p>
            <w:r>
              <w:t>F06 translation</w:t>
            </w:r>
          </w:p>
        </w:tc>
        <w:tc>
          <w:tcPr>
            <w:tcW w:type="dxa" w:w="3552"/>
          </w:tcPr>
          <w:p>
            <w:r>
              <w:t>Current position</w:t>
            </w:r>
          </w:p>
        </w:tc>
      </w:tr>
      <w:tr>
        <w:tc>
          <w:tcPr>
            <w:tcW w:type="dxa" w:w="3552"/>
          </w:tcPr>
          <w:p>
            <w:r>
              <w:t>Product Owner / GreenSphere</w:t>
            </w:r>
          </w:p>
        </w:tc>
        <w:tc>
          <w:tcPr>
            <w:tcW w:type="dxa" w:w="3552"/>
          </w:tcPr>
          <w:p>
            <w:r>
              <w:t>Confirms scale need, value, priority and eventual decision.</w:t>
            </w:r>
          </w:p>
        </w:tc>
        <w:tc>
          <w:tcPr>
            <w:tcW w:type="dxa" w:w="3552"/>
          </w:tcPr>
          <w:p>
            <w:r>
              <w:t>Governance role</w:t>
            </w:r>
          </w:p>
        </w:tc>
      </w:tr>
      <w:tr>
        <w:tc>
          <w:tcPr>
            <w:tcW w:type="dxa" w:w="3552"/>
          </w:tcPr>
          <w:p>
            <w:r>
              <w:t>Technical / Architecture</w:t>
            </w:r>
          </w:p>
        </w:tc>
        <w:tc>
          <w:tcPr>
            <w:tcW w:type="dxa" w:w="3552"/>
          </w:tcPr>
          <w:p>
            <w:r>
              <w:t>Assesses capacity, integration, resilience and technical constraints.</w:t>
            </w:r>
          </w:p>
        </w:tc>
        <w:tc>
          <w:tcPr>
            <w:tcW w:type="dxa" w:w="3552"/>
          </w:tcPr>
          <w:p>
            <w:r>
              <w:t>Delivery dependency; ownership TBD</w:t>
            </w:r>
          </w:p>
        </w:tc>
      </w:tr>
      <w:tr>
        <w:tc>
          <w:tcPr>
            <w:tcW w:type="dxa" w:w="3552"/>
          </w:tcPr>
          <w:p>
            <w:r>
              <w:t>Operations / Support</w:t>
            </w:r>
          </w:p>
        </w:tc>
        <w:tc>
          <w:tcPr>
            <w:tcW w:type="dxa" w:w="3552"/>
          </w:tcPr>
          <w:p>
            <w:r>
              <w:t>Assesses monitoring, support and service continuity.</w:t>
            </w:r>
          </w:p>
        </w:tc>
        <w:tc>
          <w:tcPr>
            <w:tcW w:type="dxa" w:w="3552"/>
          </w:tcPr>
          <w:p>
            <w:r>
              <w:t>Open governance question</w:t>
            </w:r>
          </w:p>
        </w:tc>
      </w:tr>
      <w:tr>
        <w:tc>
          <w:tcPr>
            <w:tcW w:type="dxa" w:w="3552"/>
          </w:tcPr>
          <w:p>
            <w:r>
              <w:t>Content / Regional expertise</w:t>
            </w:r>
          </w:p>
        </w:tc>
        <w:tc>
          <w:tcPr>
            <w:tcW w:type="dxa" w:w="3552"/>
          </w:tcPr>
          <w:p>
            <w:r>
              <w:t>May inform regional content and localisation readiness. F04 remains capability owner.</w:t>
            </w:r>
          </w:p>
        </w:tc>
        <w:tc>
          <w:tcPr>
            <w:tcW w:type="dxa" w:w="3552"/>
          </w:tcPr>
          <w:p>
            <w:r>
              <w:t>Cross-epic dependency</w:t>
            </w:r>
          </w:p>
        </w:tc>
      </w:tr>
      <w:tr>
        <w:tc>
          <w:tcPr>
            <w:tcW w:type="dxa" w:w="3552"/>
          </w:tcPr>
          <w:p>
            <w:r>
              <w:t>Cost / Commercial expertise</w:t>
            </w:r>
          </w:p>
        </w:tc>
        <w:tc>
          <w:tcPr>
            <w:tcW w:type="dxa" w:w="3552"/>
          </w:tcPr>
          <w:p>
            <w:r>
              <w:t>May validate cost drivers and business-case assumptions.</w:t>
            </w:r>
          </w:p>
        </w:tc>
        <w:tc>
          <w:tcPr>
            <w:tcW w:type="dxa" w:w="3552"/>
          </w:tcPr>
          <w:p>
            <w:r>
              <w:t>Open governance question</w:t>
            </w:r>
          </w:p>
        </w:tc>
      </w:tr>
    </w:tbl>
    <w:p>
      <w:pPr/>
      <w:r>
        <w:t>I keep F06 governance distinct from F01 content authority, F02 weather, F03 plant health, F04 regional plant intelligence and F05 personalisation. No new stakeholder is added to the MVP register through this translation.</w:t>
      </w:r>
    </w:p>
    <w:p>
      <w:pPr>
        <w:pStyle w:val="Heading1"/>
      </w:pPr>
      <w:r>
        <w:t>10. Ten-Gate Progression Integrity</w:t>
      </w:r>
    </w:p>
    <w:tbl>
      <w:tblPr>
        <w:tblStyle w:val="TableGrid"/>
        <w:tblW w:type="auto" w:w="0"/>
        <w:tblLook w:firstColumn="1" w:firstRow="1" w:lastColumn="0" w:lastRow="0" w:noHBand="0" w:noVBand="1" w:val="04A0"/>
      </w:tblPr>
      <w:tblGrid>
        <w:gridCol w:w="5328"/>
        <w:gridCol w:w="5328"/>
      </w:tblGrid>
      <w:tr>
        <w:tc>
          <w:tcPr>
            <w:tcW w:type="dxa" w:w="5328"/>
          </w:tcPr>
          <w:p>
            <w:r>
              <w:t>Gate</w:t>
            </w:r>
          </w:p>
        </w:tc>
        <w:tc>
          <w:tcPr>
            <w:tcW w:type="dxa" w:w="5328"/>
          </w:tcPr>
          <w:p>
            <w:r>
              <w:t>Pass 3 position</w:t>
            </w:r>
          </w:p>
        </w:tc>
      </w:tr>
      <w:tr>
        <w:tc>
          <w:tcPr>
            <w:tcW w:type="dxa" w:w="5328"/>
          </w:tcPr>
          <w:p>
            <w:r>
              <w:t>1. Problem and adoption validation</w:t>
            </w:r>
          </w:p>
        </w:tc>
        <w:tc>
          <w:tcPr>
            <w:tcW w:type="dxa" w:w="5328"/>
          </w:tcPr>
          <w:p>
            <w:r>
              <w:t>Open</w:t>
            </w:r>
          </w:p>
        </w:tc>
      </w:tr>
      <w:tr>
        <w:tc>
          <w:tcPr>
            <w:tcW w:type="dxa" w:w="5328"/>
          </w:tcPr>
          <w:p>
            <w:r>
              <w:t>2. Scale evidence</w:t>
            </w:r>
          </w:p>
        </w:tc>
        <w:tc>
          <w:tcPr>
            <w:tcW w:type="dxa" w:w="5328"/>
          </w:tcPr>
          <w:p>
            <w:r>
              <w:t>Open</w:t>
            </w:r>
          </w:p>
        </w:tc>
      </w:tr>
      <w:tr>
        <w:tc>
          <w:tcPr>
            <w:tcW w:type="dxa" w:w="5328"/>
          </w:tcPr>
          <w:p>
            <w:r>
              <w:t>3. Architecture and integration</w:t>
            </w:r>
          </w:p>
        </w:tc>
        <w:tc>
          <w:tcPr>
            <w:tcW w:type="dxa" w:w="5328"/>
          </w:tcPr>
          <w:p>
            <w:r>
              <w:t>Open</w:t>
            </w:r>
          </w:p>
        </w:tc>
      </w:tr>
      <w:tr>
        <w:tc>
          <w:tcPr>
            <w:tcW w:type="dxa" w:w="5328"/>
          </w:tcPr>
          <w:p>
            <w:r>
              <w:t>4. Operational readiness</w:t>
            </w:r>
          </w:p>
        </w:tc>
        <w:tc>
          <w:tcPr>
            <w:tcW w:type="dxa" w:w="5328"/>
          </w:tcPr>
          <w:p>
            <w:r>
              <w:t>Open</w:t>
            </w:r>
          </w:p>
        </w:tc>
      </w:tr>
      <w:tr>
        <w:tc>
          <w:tcPr>
            <w:tcW w:type="dxa" w:w="5328"/>
          </w:tcPr>
          <w:p>
            <w:r>
              <w:t>5. Geographic readiness</w:t>
            </w:r>
          </w:p>
        </w:tc>
        <w:tc>
          <w:tcPr>
            <w:tcW w:type="dxa" w:w="5328"/>
          </w:tcPr>
          <w:p>
            <w:r>
              <w:t>Open</w:t>
            </w:r>
          </w:p>
        </w:tc>
      </w:tr>
      <w:tr>
        <w:tc>
          <w:tcPr>
            <w:tcW w:type="dxa" w:w="5328"/>
          </w:tcPr>
          <w:p>
            <w:r>
              <w:t>6. Content readiness</w:t>
            </w:r>
          </w:p>
        </w:tc>
        <w:tc>
          <w:tcPr>
            <w:tcW w:type="dxa" w:w="5328"/>
          </w:tcPr>
          <w:p>
            <w:r>
              <w:t>Open</w:t>
            </w:r>
          </w:p>
        </w:tc>
      </w:tr>
      <w:tr>
        <w:tc>
          <w:tcPr>
            <w:tcW w:type="dxa" w:w="5328"/>
          </w:tcPr>
          <w:p>
            <w:r>
              <w:t>7. Upstream capability maturity</w:t>
            </w:r>
          </w:p>
        </w:tc>
        <w:tc>
          <w:tcPr>
            <w:tcW w:type="dxa" w:w="5328"/>
          </w:tcPr>
          <w:p>
            <w:r>
              <w:t>Open</w:t>
            </w:r>
          </w:p>
        </w:tc>
      </w:tr>
      <w:tr>
        <w:tc>
          <w:tcPr>
            <w:tcW w:type="dxa" w:w="5328"/>
          </w:tcPr>
          <w:p>
            <w:r>
              <w:t>8. Cost model</w:t>
            </w:r>
          </w:p>
        </w:tc>
        <w:tc>
          <w:tcPr>
            <w:tcW w:type="dxa" w:w="5328"/>
          </w:tcPr>
          <w:p>
            <w:r>
              <w:t>Open</w:t>
            </w:r>
          </w:p>
        </w:tc>
      </w:tr>
      <w:tr>
        <w:tc>
          <w:tcPr>
            <w:tcW w:type="dxa" w:w="5328"/>
          </w:tcPr>
          <w:p>
            <w:r>
              <w:t>9. Business case</w:t>
            </w:r>
          </w:p>
        </w:tc>
        <w:tc>
          <w:tcPr>
            <w:tcW w:type="dxa" w:w="5328"/>
          </w:tcPr>
          <w:p>
            <w:r>
              <w:t>Open</w:t>
            </w:r>
          </w:p>
        </w:tc>
      </w:tr>
      <w:tr>
        <w:tc>
          <w:tcPr>
            <w:tcW w:type="dxa" w:w="5328"/>
          </w:tcPr>
          <w:p>
            <w:r>
              <w:t>10. Value and priority</w:t>
            </w:r>
          </w:p>
        </w:tc>
        <w:tc>
          <w:tcPr>
            <w:tcW w:type="dxa" w:w="5328"/>
          </w:tcPr>
          <w:p>
            <w:r>
              <w:t>Decision required after the preceding evidence is established</w:t>
            </w:r>
          </w:p>
        </w:tc>
      </w:tr>
    </w:tbl>
    <w:p>
      <w:pPr/>
      <w:r>
        <w:t>The ten gates remain exactly the Pass 2 progression model. They are intentionally tailored to F06 as a system and business-case capability and are not copied from F03 safety governance or F04 regional-content governance.</w:t>
      </w:r>
    </w:p>
    <w:p>
      <w:pPr>
        <w:pStyle w:val="Heading1"/>
      </w:pPr>
      <w:r>
        <w:t>11. Jira Translation Readiness</w:t>
      </w:r>
    </w:p>
    <w:tbl>
      <w:tblPr>
        <w:tblStyle w:val="TableGrid"/>
        <w:tblW w:type="auto" w:w="0"/>
        <w:tblLook w:firstColumn="1" w:firstRow="1" w:lastColumn="0" w:lastRow="0" w:noHBand="0" w:noVBand="1" w:val="04A0"/>
      </w:tblPr>
      <w:tblGrid>
        <w:gridCol w:w="3552"/>
        <w:gridCol w:w="3552"/>
        <w:gridCol w:w="3552"/>
      </w:tblGrid>
      <w:tr>
        <w:tc>
          <w:tcPr>
            <w:tcW w:type="dxa" w:w="3552"/>
          </w:tcPr>
          <w:p>
            <w:r>
              <w:t>Artifact</w:t>
            </w:r>
          </w:p>
        </w:tc>
        <w:tc>
          <w:tcPr>
            <w:tcW w:type="dxa" w:w="3552"/>
          </w:tcPr>
          <w:p>
            <w:r>
              <w:t>Prepared form</w:t>
            </w:r>
          </w:p>
        </w:tc>
        <w:tc>
          <w:tcPr>
            <w:tcW w:type="dxa" w:w="3552"/>
          </w:tcPr>
          <w:p>
            <w:r>
              <w:t>Jira action now?</w:t>
            </w:r>
          </w:p>
        </w:tc>
      </w:tr>
      <w:tr>
        <w:tc>
          <w:tcPr>
            <w:tcW w:type="dxa" w:w="3552"/>
          </w:tcPr>
          <w:p>
            <w:r>
              <w:t>EPIC-F06 definition</w:t>
            </w:r>
          </w:p>
        </w:tc>
        <w:tc>
          <w:tcPr>
            <w:tcW w:type="dxa" w:w="3552"/>
          </w:tcPr>
          <w:p>
            <w:r>
              <w:t>Available as a future-state discovery structure</w:t>
            </w:r>
          </w:p>
        </w:tc>
        <w:tc>
          <w:tcPr>
            <w:tcW w:type="dxa" w:w="3552"/>
          </w:tcPr>
          <w:p>
            <w:r>
              <w:t>No</w:t>
            </w:r>
          </w:p>
        </w:tc>
      </w:tr>
      <w:tr>
        <w:tc>
          <w:tcPr>
            <w:tcW w:type="dxa" w:w="3552"/>
          </w:tcPr>
          <w:p>
            <w:r>
              <w:t>F06.1 to F06.4 feature definitions</w:t>
            </w:r>
          </w:p>
        </w:tc>
        <w:tc>
          <w:tcPr>
            <w:tcW w:type="dxa" w:w="3552"/>
          </w:tcPr>
          <w:p>
            <w:r>
              <w:t>Controlled translation available</w:t>
            </w:r>
          </w:p>
        </w:tc>
        <w:tc>
          <w:tcPr>
            <w:tcW w:type="dxa" w:w="3552"/>
          </w:tcPr>
          <w:p>
            <w:r>
              <w:t>No</w:t>
            </w:r>
          </w:p>
        </w:tc>
      </w:tr>
      <w:tr>
        <w:tc>
          <w:tcPr>
            <w:tcW w:type="dxa" w:w="3552"/>
          </w:tcPr>
          <w:p>
            <w:r>
              <w:t>Future requirement IDs</w:t>
            </w:r>
          </w:p>
        </w:tc>
        <w:tc>
          <w:tcPr>
            <w:tcW w:type="dxa" w:w="3552"/>
          </w:tcPr>
          <w:p>
            <w:r>
              <w:t>None assigned</w:t>
            </w:r>
          </w:p>
        </w:tc>
        <w:tc>
          <w:tcPr>
            <w:tcW w:type="dxa" w:w="3552"/>
          </w:tcPr>
          <w:p>
            <w:r>
              <w:t>No</w:t>
            </w:r>
          </w:p>
        </w:tc>
      </w:tr>
      <w:tr>
        <w:tc>
          <w:tcPr>
            <w:tcW w:type="dxa" w:w="3552"/>
          </w:tcPr>
          <w:p>
            <w:r>
              <w:t>Future story ID</w:t>
            </w:r>
          </w:p>
        </w:tc>
        <w:tc>
          <w:tcPr>
            <w:tcW w:type="dxa" w:w="3552"/>
          </w:tcPr>
          <w:p>
            <w:r>
              <w:t>None assigned</w:t>
            </w:r>
          </w:p>
        </w:tc>
        <w:tc>
          <w:tcPr>
            <w:tcW w:type="dxa" w:w="3552"/>
          </w:tcPr>
          <w:p>
            <w:r>
              <w:t>No</w:t>
            </w:r>
          </w:p>
        </w:tc>
      </w:tr>
      <w:tr>
        <w:tc>
          <w:tcPr>
            <w:tcW w:type="dxa" w:w="3552"/>
          </w:tcPr>
          <w:p>
            <w:r>
              <w:t>Acceptance criteria</w:t>
            </w:r>
          </w:p>
        </w:tc>
        <w:tc>
          <w:tcPr>
            <w:tcW w:type="dxa" w:w="3552"/>
          </w:tcPr>
          <w:p>
            <w:r>
              <w:t>Framework only</w:t>
            </w:r>
          </w:p>
        </w:tc>
        <w:tc>
          <w:tcPr>
            <w:tcW w:type="dxa" w:w="3552"/>
          </w:tcPr>
          <w:p>
            <w:r>
              <w:t>No</w:t>
            </w:r>
          </w:p>
        </w:tc>
      </w:tr>
      <w:tr>
        <w:tc>
          <w:tcPr>
            <w:tcW w:type="dxa" w:w="3552"/>
          </w:tcPr>
          <w:p>
            <w:r>
              <w:t>NFR IDs</w:t>
            </w:r>
          </w:p>
        </w:tc>
        <w:tc>
          <w:tcPr>
            <w:tcW w:type="dxa" w:w="3552"/>
          </w:tcPr>
          <w:p>
            <w:r>
              <w:t>None assigned</w:t>
            </w:r>
          </w:p>
        </w:tc>
        <w:tc>
          <w:tcPr>
            <w:tcW w:type="dxa" w:w="3552"/>
          </w:tcPr>
          <w:p>
            <w:r>
              <w:t>No</w:t>
            </w:r>
          </w:p>
        </w:tc>
      </w:tr>
      <w:tr>
        <w:tc>
          <w:tcPr>
            <w:tcW w:type="dxa" w:w="3552"/>
          </w:tcPr>
          <w:p>
            <w:r>
              <w:t>Dependencies and governance</w:t>
            </w:r>
          </w:p>
        </w:tc>
        <w:tc>
          <w:tcPr>
            <w:tcW w:type="dxa" w:w="3552"/>
          </w:tcPr>
          <w:p>
            <w:r>
              <w:t>Documented as discovery constraints</w:t>
            </w:r>
          </w:p>
        </w:tc>
        <w:tc>
          <w:tcPr>
            <w:tcW w:type="dxa" w:w="3552"/>
          </w:tcPr>
          <w:p>
            <w:r>
              <w:t>No</w:t>
            </w:r>
          </w:p>
        </w:tc>
      </w:tr>
      <w:tr>
        <w:tc>
          <w:tcPr>
            <w:tcW w:type="dxa" w:w="3552"/>
          </w:tcPr>
          <w:p>
            <w:r>
              <w:t>Story Points</w:t>
            </w:r>
          </w:p>
        </w:tc>
        <w:tc>
          <w:tcPr>
            <w:tcW w:type="dxa" w:w="3552"/>
          </w:tcPr>
          <w:p>
            <w:r>
              <w:t>Deferred to real delivery planning</w:t>
            </w:r>
          </w:p>
        </w:tc>
        <w:tc>
          <w:tcPr>
            <w:tcW w:type="dxa" w:w="3552"/>
          </w:tcPr>
          <w:p>
            <w:r>
              <w:t>No</w:t>
            </w:r>
          </w:p>
        </w:tc>
      </w:tr>
      <w:tr>
        <w:tc>
          <w:tcPr>
            <w:tcW w:type="dxa" w:w="3552"/>
          </w:tcPr>
          <w:p>
            <w:r>
              <w:t>Bugs</w:t>
            </w:r>
          </w:p>
        </w:tc>
        <w:tc>
          <w:tcPr>
            <w:tcW w:type="dxa" w:w="3552"/>
          </w:tcPr>
          <w:p>
            <w:r>
              <w:t>None, because no delivery defect exists</w:t>
            </w:r>
          </w:p>
        </w:tc>
        <w:tc>
          <w:tcPr>
            <w:tcW w:type="dxa" w:w="3552"/>
          </w:tcPr>
          <w:p>
            <w:r>
              <w:t>No</w:t>
            </w:r>
          </w:p>
        </w:tc>
      </w:tr>
      <w:tr>
        <w:tc>
          <w:tcPr>
            <w:tcW w:type="dxa" w:w="3552"/>
          </w:tcPr>
          <w:p>
            <w:r>
              <w:t>Jira creation</w:t>
            </w:r>
          </w:p>
        </w:tc>
        <w:tc>
          <w:tcPr>
            <w:tcW w:type="dxa" w:w="3552"/>
          </w:tcPr>
          <w:p>
            <w:r>
              <w:t>Not approved</w:t>
            </w:r>
          </w:p>
        </w:tc>
        <w:tc>
          <w:tcPr>
            <w:tcW w:type="dxa" w:w="3552"/>
          </w:tcPr>
          <w:p>
            <w:r>
              <w:t>No</w:t>
            </w:r>
          </w:p>
        </w:tc>
      </w:tr>
    </w:tbl>
    <w:p>
      <w:pPr>
        <w:pStyle w:val="Heading1"/>
      </w:pPr>
      <w:r>
        <w:t>12. Pass 3 Decision</w:t>
      </w:r>
    </w:p>
    <w:p>
      <w:pPr/>
      <w:r>
        <w:t>Pass 3 maintains a constrained delivery translation posture. The four F06 feature candidates and two unnumbered requirement directions are now expressed in delivery-ready structure, but no formal future requirement or story ID is authorised.</w:t>
      </w:r>
    </w:p>
    <w:p>
      <w:pPr/>
      <w:r>
        <w:t>The remaining progression bar is evidence across the ten gates: validate adoption and scale need, establish technical and operational evidence, define geographic and content readiness, confirm upstream capability maturity, establish the cost model, then build the business case and make the value and priority decision.</w:t>
      </w:r>
    </w:p>
    <w:p>
      <w:pPr/>
      <w:r>
        <w:t>Next controlled stage: independent cross-artifact QA against Pass 2, the revalidated Product Vision and Capability Map, and the sibling F01 through F05 final portfolio packages.</w:t>
      </w:r>
    </w:p>
    <w:p>
      <w:pPr>
        <w:pStyle w:val="Heading1"/>
      </w:pPr>
      <w:r>
        <w:t>13. Traceability to Source Artifacts</w:t>
      </w:r>
    </w:p>
    <w:tbl>
      <w:tblPr>
        <w:tblStyle w:val="TableGrid"/>
        <w:tblW w:type="auto" w:w="0"/>
        <w:tblLook w:firstColumn="1" w:firstRow="1" w:lastColumn="0" w:lastRow="0" w:noHBand="0" w:noVBand="1" w:val="04A0"/>
      </w:tblPr>
      <w:tblGrid>
        <w:gridCol w:w="5328"/>
        <w:gridCol w:w="5328"/>
      </w:tblGrid>
      <w:tr>
        <w:tc>
          <w:tcPr>
            <w:tcW w:type="dxa" w:w="5328"/>
          </w:tcPr>
          <w:p>
            <w:r>
              <w:t>Source artifact</w:t>
            </w:r>
          </w:p>
        </w:tc>
        <w:tc>
          <w:tcPr>
            <w:tcW w:type="dxa" w:w="5328"/>
          </w:tcPr>
          <w:p>
            <w:r>
              <w:t>How Pass 3 uses it</w:t>
            </w:r>
          </w:p>
        </w:tc>
      </w:tr>
      <w:tr>
        <w:tc>
          <w:tcPr>
            <w:tcW w:type="dxa" w:w="5328"/>
          </w:tcPr>
          <w:p>
            <w:r>
              <w:t>Product Vision &amp; Capability Map | Revalidated Scope</w:t>
            </w:r>
          </w:p>
        </w:tc>
        <w:tc>
          <w:tcPr>
            <w:tcW w:type="dxa" w:w="5328"/>
          </w:tcPr>
          <w:p>
            <w:r>
              <w:t>Preserves the F06 opportunity, five-epic boundary, broader platform and global-readiness scope, and evidence-before-scale posture.</w:t>
            </w:r>
          </w:p>
        </w:tc>
      </w:tr>
      <w:tr>
        <w:tc>
          <w:tcPr>
            <w:tcW w:type="dxa" w:w="5328"/>
          </w:tcPr>
          <w:p>
            <w:r>
              <w:t>EPIC-F06 Deep Discovery | Pass 2</w:t>
            </w:r>
          </w:p>
        </w:tc>
        <w:tc>
          <w:tcPr>
            <w:tcW w:type="dxa" w:w="5328"/>
          </w:tcPr>
          <w:p>
            <w:r>
              <w:t>Translates F06.1 to F06.4, the unnumbered requirement directions, story direction, NFR themes, dependency question and ten-gate progression model.</w:t>
            </w:r>
          </w:p>
        </w:tc>
      </w:tr>
      <w:tr>
        <w:tc>
          <w:tcPr>
            <w:tcW w:type="dxa" w:w="5328"/>
          </w:tcPr>
          <w:p>
            <w:r>
              <w:t>EPIC-F01 to F05 future-state packages</w:t>
            </w:r>
          </w:p>
        </w:tc>
        <w:tc>
          <w:tcPr>
            <w:tcW w:type="dxa" w:w="5328"/>
          </w:tcPr>
          <w:p>
            <w:r>
              <w:t>Maintains settled cross-epic boundaries and avoids moving platform scalability into care, weather, plant health, regional intelligence or personalisation.</w:t>
            </w:r>
          </w:p>
        </w:tc>
      </w:tr>
      <w:tr>
        <w:tc>
          <w:tcPr>
            <w:tcW w:type="dxa" w:w="5328"/>
          </w:tcPr>
          <w:p>
            <w:r>
              <w:t>Locked EcoGrow MVP</w:t>
            </w:r>
          </w:p>
        </w:tc>
        <w:tc>
          <w:tcPr>
            <w:tcW w:type="dxa" w:w="5328"/>
          </w:tcPr>
          <w:p>
            <w:r>
              <w:t>Maintains the historical baseline. No FR-01 to FR-09 changes are made here.</w:t>
            </w:r>
          </w:p>
        </w:tc>
      </w:tr>
    </w:tbl>
    <w:p>
      <w:pPr/>
      <w:r>
        <w:t>Evidence boundary: This document demonstrates requirements-engineering discipline, future-state discovery, governance translation and progression control. It does not establish product acceptance, production readiness, sprint delivery, realised benefits, or approved scale investment.</w:t>
      </w:r>
    </w:p>
    <w:p>
      <w:pPr/>
      <w:r>
        <w:t>Prepared by Doris Frank, Business Analyst</w:t>
      </w:r>
    </w:p>
    <w:sectPr w:rsidR="00FC693F" w:rsidRPr="0006063C" w:rsidSect="00034616">
      <w:footerReference w:type="default" r:id="rId9"/>
      <w:headerReference w:type="default" r:id="rId10"/>
      <w:pgSz w:w="12240" w:h="15840"/>
      <w:pgMar w:top="504" w:right="792" w:bottom="31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3"/>
      </w:rPr>
      <w:t>Prepared by Doris Frank, Business Analyst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